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color w:val="1A5EAF"/>
          <w:sz w:val="24"/>
          <w:szCs w:val="24"/>
          <w:lang w:val="en-GB" w:eastAsia="en-GB" w:bidi="en-GB"/>
        </w:rPr>
      </w:pPr>
      <w:r>
        <w:rPr>
          <w:lang w:val="en-GB" w:eastAsia="en-GB" w:bidi="en-GB"/>
        </w:rPr>
        <w:drawing>
          <wp:inline distT="0" distB="0" distL="0" distR="0">
            <wp:extent cx="2028825" cy="695325"/>
            <wp:docPr id="2" name="Picture 2"/>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2028825" cy="695325"/>
                    </a:xfrm>
                    <a:prstGeom prst="rect">
                      <a:avLst/>
                    </a:prstGeom>
                  </pic:spPr>
                </pic:pic>
              </a:graphicData>
            </a:graphic>
          </wp:inline>
        </w:drawing>
      </w: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sz w:val="24"/>
          <w:szCs w:val="24"/>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b/>
          <w:bCs/>
          <w:sz w:val="24"/>
          <w:szCs w:val="24"/>
          <w:lang w:val="en-GB" w:eastAsia="en-GB" w:bidi="en-GB"/>
        </w:rPr>
      </w:pP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Bold" w:hAnsi="Arial Bold" w:eastAsia="Arial Bold" w:cs="Arial Bold"/>
          <w:color w:val="1A7BC0"/>
          <w:sz w:val="28"/>
          <w:szCs w:val="28"/>
          <w:lang w:val="en-GB" w:eastAsia="en-GB" w:bidi="en-GB"/>
        </w:rPr>
      </w:pPr>
      <w:r>
        <w:rPr>
          <w:rFonts w:ascii="Arial Bold" w:hAnsi="Arial Bold" w:eastAsia="Arial Bold" w:cs="Arial Bold"/>
          <w:color w:val="1A7BC0"/>
          <w:sz w:val="28"/>
          <w:szCs w:val="28"/>
          <w:lang w:val="en-GB" w:eastAsia="en-GB" w:bidi="en-GB"/>
        </w:rPr>
        <w:t xml:space="preserve">HEAD OF CUSTOMER ENGAGEMENT</w:t>
      </w:r>
    </w:p>
    <w:p>
      <w:pPr>
        <w:pStyle w:val="Normal"/>
        <w:tabs>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bCs/>
          <w:sz w:val="24"/>
          <w:szCs w:val="24"/>
          <w:lang w:val="en-GB" w:eastAsia="en-GB" w:bidi="en-GB"/>
        </w:rPr>
      </w:pPr>
    </w:p>
    <w:p>
      <w:pPr>
        <w:pStyle w:val="Bulleted Text Level 1"/>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lang w:val="en-GB" w:eastAsia="en-GB" w:bidi="en-GB"/>
        </w:rPr>
      </w:pPr>
      <w:r>
        <w:rPr>
          <w:b/>
          <w:bCs/>
          <w:sz w:val="24"/>
          <w:szCs w:val="24"/>
          <w:lang w:val="en-GB" w:eastAsia="en-GB" w:bidi="en-GB"/>
        </w:rPr>
        <w:t xml:space="preserve">Responsible to	</w:t>
      </w:r>
      <w:r>
        <w:rPr>
          <w:lang w:val="en-GB" w:eastAsia="en-GB" w:bidi="en-GB"/>
        </w:rPr>
        <w:t xml:space="preserve">      Head of Customer Strategy and Marketing</w:t>
      </w: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50" w:hanging="2550"/>
        <w:rPr>
          <w:b/>
          <w:bCs/>
          <w:sz w:val="24"/>
          <w:szCs w:val="24"/>
          <w:lang w:val="en-GB" w:eastAsia="en-GB" w:bidi="en-GB"/>
        </w:rPr>
      </w:pP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50" w:hanging="2550"/>
        <w:rPr>
          <w:lang w:val="en-GB" w:eastAsia="en-GB" w:bidi="en-GB"/>
        </w:rPr>
      </w:pPr>
      <w:r>
        <w:rPr>
          <w:b/>
          <w:bCs/>
          <w:sz w:val="24"/>
          <w:szCs w:val="24"/>
          <w:lang w:val="en-GB" w:eastAsia="en-GB" w:bidi="en-GB"/>
        </w:rPr>
        <w:t xml:space="preserve">Location		</w:t>
      </w:r>
      <w:r>
        <w:rPr>
          <w:lang w:val="en-GB" w:eastAsia="en-GB" w:bidi="en-GB"/>
        </w:rPr>
        <w:t xml:space="preserve">National Tennis Centre, 100 Priory Lane, Roehampton, London SW15 5JQ </w:t>
      </w: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550" w:hanging="2550"/>
        <w:rPr>
          <w:b/>
          <w:bCs/>
          <w:sz w:val="24"/>
          <w:szCs w:val="24"/>
          <w:lang w:val="en-GB" w:eastAsia="en-GB" w:bidi="en-GB"/>
        </w:rPr>
      </w:pP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ind w:left="2550" w:hanging="2550"/>
        <w:rPr>
          <w:lang w:val="en-GB" w:eastAsia="en-GB" w:bidi="en-GB"/>
        </w:rPr>
      </w:pPr>
      <w:r>
        <w:rPr>
          <w:b/>
          <w:bCs/>
          <w:sz w:val="24"/>
          <w:szCs w:val="24"/>
          <w:lang w:val="en-GB" w:eastAsia="en-GB" w:bidi="en-GB"/>
        </w:rPr>
        <w:t xml:space="preserve">Salary	</w:t>
      </w:r>
      <w:r>
        <w:rPr>
          <w:lang w:val="en-GB" w:eastAsia="en-GB" w:bidi="en-GB"/>
        </w:rPr>
        <w:t xml:space="preserve">Up to £80,000 per annum depending on experience</w:t>
      </w:r>
    </w:p>
    <w:p>
      <w:pPr>
        <w:pStyle w:val="Normal"/>
        <w:tabs>
          <w:tab w:val="left" w:pos="2550"/>
          <w:tab w:val="left" w:pos="255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ind w:left="2550" w:hanging="2550"/>
        <w:rPr>
          <w:b/>
          <w:bCs/>
          <w:sz w:val="24"/>
          <w:szCs w:val="24"/>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6" w:lineRule="auto"/>
        <w:rPr>
          <w:color w:val="1A7BC0"/>
          <w:sz w:val="26"/>
          <w:szCs w:val="26"/>
          <w:lang w:val="en-GB" w:eastAsia="en-GB" w:bidi="en-GB"/>
        </w:rPr>
      </w:pPr>
      <w:r>
        <w:rPr>
          <w:color w:val="1A7BC0"/>
          <w:sz w:val="26"/>
          <w:szCs w:val="26"/>
          <w:lang w:val="en-GB" w:eastAsia="en-GB" w:bidi="en-GB"/>
        </w:rPr>
        <w:t xml:space="preserve">About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1"/>
        <w:rPr>
          <w:lang w:val="en-GB" w:eastAsia="en-GB" w:bidi="en-GB"/>
        </w:rPr>
      </w:pPr>
      <w:r>
        <w:rPr>
          <w:spacing w:val="2"/>
          <w:lang w:val="en-US" w:eastAsia="en-US" w:bidi="en-US"/>
        </w:rPr>
        <w:t xml:space="preserve">The LTA’s vision is ‘Tennis Opened Up’, and its mission is to transform communities through tennis by making it welcoming, enjoyable and inspiring for everyone. We take a similar approach to developing and promoting padel, one of Britain’s fastest-growing sports.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61"/>
        <w:rPr>
          <w:spacing w:val="2"/>
          <w:lang w:val="en-US" w:eastAsia="en-US" w:bidi="en-US"/>
        </w:rPr>
      </w:pPr>
    </w:p>
    <w:p>
      <w:pPr>
        <w:pStyle w:val="Normal"/>
        <w:tabs>
          <w:tab w:val="left" w:pos="283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uto"/>
        <w:jc w:val="both"/>
        <w:rPr>
          <w:lang w:val="en-GB" w:eastAsia="en-GB" w:bidi="en-GB"/>
        </w:rPr>
      </w:pPr>
      <w:r>
        <w:rPr>
          <w:lang w:val="en-GB" w:eastAsia="en-GB" w:bidi="en-GB"/>
        </w:rPr>
        <w:t xml:space="preserve">The Customer Strategy &amp; Marketing Team support the LTA’s vision through the visibility, positioning and promotion of tennis all year round, to grow fandom and participation.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lang w:val="en-GB" w:eastAsia="en-GB" w:bidi="en-GB"/>
        </w:rPr>
      </w:pPr>
      <w:r>
        <w:rPr>
          <w:lang w:val="en-GB" w:eastAsia="en-GB" w:bidi="en-GB"/>
        </w:rPr>
        <w:t xml:space="preserve">Within the Customer Strategy &amp; Marketing team, the Customer Engagement team plays a vital role in the delivery of the LTA’s business plan, responsible for increasing our database of first party contacts to drive our participation, fandom and income generating objectives and for building the LTA’s relationship with key members of the game’s workforce infrastructure such as coaches and venue volunteers.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val="off"/>
          <w:bCs w:val="off"/>
          <w:color w:val="auto"/>
          <w:sz w:val="22"/>
          <w:szCs w:val="22"/>
          <w:lang w:val="en-GB" w:eastAsia="en-GB" w:bidi="en-GB"/>
        </w:rPr>
      </w:pPr>
      <w:r>
        <w:rPr>
          <w:rFonts w:ascii="Arial" w:hAnsi="Arial" w:eastAsia="Arial" w:cs="Arial"/>
          <w:b w:val="off"/>
          <w:bCs w:val="off"/>
          <w:color w:val="auto"/>
          <w:sz w:val="22"/>
          <w:szCs w:val="22"/>
          <w:lang w:val="en-GB" w:eastAsia="en-GB" w:bidi="en-GB"/>
        </w:rPr>
        <w:t xml:space="preserve">Key imminent strategic change projects will include a Martech migration and adoption of new technology including AI features, development of a new strategy for our membership proposition, including a bespoke solution for padel and new innovative fan engagement and loyalty mechanisms. As such it will be crucial that the role holder has the necessary experience to inspire the team and peers to see through a successful outcome.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61"/>
        <w:rPr>
          <w:spacing w:val="2"/>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A7BC0"/>
          <w:sz w:val="26"/>
          <w:szCs w:val="26"/>
          <w:lang w:val="en-GB" w:eastAsia="en-GB" w:bidi="en-GB"/>
        </w:rPr>
      </w:pPr>
      <w:r>
        <w:rPr>
          <w:color w:val="1A7BC0"/>
          <w:sz w:val="26"/>
          <w:szCs w:val="26"/>
          <w:lang w:val="en-GB" w:eastAsia="en-GB" w:bidi="en-GB"/>
        </w:rPr>
        <w:t xml:space="preserve">Our Support 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US" w:eastAsia="en-US" w:bidi="en-US"/>
        </w:rPr>
      </w:pPr>
      <w:r>
        <w:rPr>
          <w:lang w:val="en-US" w:eastAsia="en-US" w:bidi="en-US"/>
        </w:rPr>
        <w:t xml:space="preserve">When applying for our roles, you will be asked as part of our application process if you require any adjustments or support during the recruitment process. Adjustments could include extra time for assessments, interview questions in advance, alternative formats for materials or wheelchair access. Any information you provide will be treated in confidence and only used to make sure you have the best possible experience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8"/>
          <w:szCs w:val="18"/>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A7BC0"/>
          <w:lang w:val="en-GB" w:eastAsia="en-GB" w:bidi="en-GB"/>
        </w:rPr>
      </w:pPr>
      <w:r>
        <w:rPr>
          <w:color w:val="1A7BC0"/>
          <w:lang w:val="en-GB" w:eastAsia="en-GB" w:bidi="en-GB"/>
        </w:rPr>
        <w:t xml:space="preserve">Key Accountabilities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u w:val="single"/>
          <w:lang w:val="en-GB" w:eastAsia="en-GB" w:bidi="en-GB"/>
        </w:rPr>
      </w:pPr>
      <w:r>
        <w:rPr>
          <w:b/>
          <w:bCs/>
          <w:u w:val="single"/>
          <w:lang w:val="en-GB" w:eastAsia="en-GB" w:bidi="en-GB"/>
        </w:rPr>
        <w:t xml:space="preserve">Strategic leadership</w:t>
      </w:r>
    </w:p>
    <w:p>
      <w:pPr>
        <w:pStyle w:val="ListParagraph"/>
        <w:numPr>
          <w:ilvl w:val="0"/>
          <w:numId w:val="3"/>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lang w:val="en-GB" w:eastAsia="en-GB" w:bidi="en-GB"/>
        </w:rPr>
      </w:pPr>
      <w:r>
        <w:rPr>
          <w:lang w:val="en-GB" w:eastAsia="en-GB" w:bidi="en-GB"/>
        </w:rPr>
        <w:t xml:space="preserve">You will be accountable for ongoing development and delivery of the Customer Engagement Strategy; to own the strategy for our membership proposition LTA Advantage, to work with our wider marketing team to grow our membership base, to engage and retain members, and achieve relevant business outcomes across engagement metrics, participation growth and ticketing including LTA’s Grass Court Season.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Owning the Membership proposition roadmap and influence the wider business, where necessary, to support delivery</w:t>
      </w:r>
    </w:p>
    <w:p>
      <w:pPr>
        <w:pStyle w:val="ListParagraph"/>
        <w:numPr>
          <w:ilvl w:val="0"/>
          <w:numId w:val="3"/>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hanging="360"/>
        <w:jc w:val="both"/>
        <w:rPr>
          <w:lang w:val="en-GB" w:eastAsia="en-GB" w:bidi="en-GB"/>
        </w:rPr>
      </w:pPr>
      <w:r>
        <w:rPr>
          <w:lang w:val="en-GB" w:eastAsia="en-GB" w:bidi="en-GB"/>
        </w:rPr>
        <w:t xml:space="preserve">Overseeing the development of an annual direct communications calendar and automations roadmap through the orchestration of an effective omni channel strategy</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Working closely with the Insights team to use data and analytics to define audiences, identifying volume and value opportunities and prioritise accordingly</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Overseeing the delivery of the technical migration to MoEngage in the second half of 2026, and adoption of the platform into 2027 and beyond, supporting the team to leverage AI functionality within the tool to increase personalisation and improve customer outcomes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Concluding the strategic development of a refreshed Advantage proposition, and lead the project to delivery and launch in 2027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Continuing the strategic vision to improve membership Loyalty through the onboarding of a new gamification and loyalty platform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Continuing to lead the roll out of mobile personalisation into the engagement channel framework</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jc w:val="both"/>
        <w:rPr>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0"/>
        <w:jc w:val="both"/>
        <w:rPr>
          <w:b/>
          <w:bCs/>
          <w:u w:val="single"/>
          <w:lang w:val="en-GB" w:eastAsia="en-GB" w:bidi="en-GB"/>
        </w:rPr>
      </w:pPr>
      <w:r>
        <w:rPr>
          <w:b/>
          <w:bCs/>
          <w:u w:val="single"/>
          <w:lang w:val="en-GB" w:eastAsia="en-GB" w:bidi="en-GB"/>
        </w:rPr>
        <w:t xml:space="preserve">Collaboration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Working with peers, ensure that our brand and content strategies are fully embedded within the team’s planning and delivery to ensure positioning, look and feel, and content objectives are met and supported.</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Overseeing the delivery of commercial sponsorship rights across Advantage and continue to develop and invest in assets with commercial potential.</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Building strong relationships with Commercial, Digital Transformation, Ticketing, Customer Services and National Delivery teams </w:t>
      </w:r>
      <w:r>
        <w:rPr>
          <w:i/>
          <w:iCs/>
          <w:lang w:val="en-GB" w:eastAsia="en-GB" w:bidi="en-GB"/>
        </w:rPr>
        <w:t xml:space="preserve">to</w:t>
      </w:r>
      <w:r>
        <w:rPr>
          <w:lang w:val="en-GB" w:eastAsia="en-GB" w:bidi="en-GB"/>
        </w:rPr>
        <w:t xml:space="preserve"> ensure business wide alignment of objectives.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Managing the relationship with MoEngage, influence the product roadmap and oversee usage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You will be accountable for supporting our workforce marketing priorities through a similarly robust approach to communications, recognising the individual, not just the role.</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40" w:lineRule="auto"/>
        <w:ind w:left="360"/>
        <w:jc w:val="both"/>
        <w:rPr>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left="0"/>
        <w:jc w:val="both"/>
        <w:rPr>
          <w:b/>
          <w:bCs/>
          <w:u w:val="single"/>
          <w:lang w:val="en-GB" w:eastAsia="en-GB" w:bidi="en-GB"/>
        </w:rPr>
      </w:pPr>
      <w:r>
        <w:rPr>
          <w:b/>
          <w:bCs/>
          <w:u w:val="single"/>
          <w:lang w:val="en-GB" w:eastAsia="en-GB" w:bidi="en-GB"/>
        </w:rPr>
        <w:t xml:space="preserve">Team leadership</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Developing, leading and inspiring the Customer Engagement team to be a highly capable, effective and collaborative team.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Leading and managing the annual budget and P&amp;L for Customer Engagement.</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Accountable for owning, refining and delivering against the Customer Engagement scorecard across both digital, participation and revenue outcomes.</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40" w:lineRule="auto"/>
        <w:ind w:hanging="360"/>
        <w:jc w:val="both"/>
        <w:rPr>
          <w:lang w:val="en-GB" w:eastAsia="en-GB" w:bidi="en-GB"/>
        </w:rPr>
      </w:pPr>
      <w:r>
        <w:rPr>
          <w:lang w:val="en-GB" w:eastAsia="en-GB" w:bidi="en-GB"/>
        </w:rPr>
        <w:t xml:space="preserve">Accountable for the best practice including regulatory compliance and good application of customer data for analysis and campaign selection.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1A7BC0"/>
          <w:lang w:val="en-GB" w:eastAsia="en-GB" w:bidi="en-GB"/>
        </w:rPr>
      </w:pPr>
      <w:r>
        <w:rPr>
          <w:color w:val="1A7BC0"/>
          <w:lang w:val="en-GB" w:eastAsia="en-GB" w:bidi="en-GB"/>
        </w:rPr>
        <w:t xml:space="preserve">Person Specification </w:t>
      </w:r>
    </w:p>
    <w:tbl>
      <w:tblPr>
        <w:tblW w:w="0" w:type="auto"/>
        <w:jc w:val="left"/>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CellMar>
          <w:top w:w="0" w:type="dxa"/>
          <w:left w:w="108" w:type="dxa"/>
          <w:bottom w:w="0" w:type="dxa"/>
          <w:right w:w="108" w:type="dxa"/>
        </w:tblCellMar>
      </w:tblPr>
      <w:tblGrid>
        <w:gridCol w:w="9310"/>
        <w:gridCol w:w="1146"/>
      </w:tblGrid>
      <w:tr>
        <w:trPr>
          <w:trHeight w:val="278" w:hRule="atLeast"/>
        </w:trPr>
        <w:tc>
          <w:tcPr>
            <w:tcW w:w="93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A change agent with the experience to lead major change within Customer Engagement.</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Possess the proven ability to lead and inspire a Customer Engagement department </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Demonstrable experience of setting customer strategy.</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Significant experience of implementing test and learn programmes </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Experience of sports / NGB sector preferable </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Proven ability to build strong relationships with key stakeholders up to Exec </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Proven track record of developing and managing a membership and loyalty programme</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Proven ability to turn concepts into reality and to manage plans and programmes to budget</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Previous experience of working multi functionally to deliver projects to a deadline</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A strong consumer marketer with considerable experience of creating plans designed to appeal to clearly defined target audiences</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Bulleted Text Level 1"/>
              <w:numPr>
                <w:ilvl w:val="0"/>
                <w:numId w:val="0"/>
              </w:numPr>
              <w:tabs>
                <w:tab w:val="clear"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jc w:val="both"/>
              <w:rPr>
                <w:lang w:val="en-GB" w:eastAsia="en-GB" w:bidi="en-GB"/>
              </w:rPr>
            </w:pPr>
            <w:r>
              <w:rPr>
                <w:lang w:val="en-GB" w:eastAsia="en-GB" w:bidi="en-GB"/>
              </w:rPr>
              <w:t xml:space="preserve">An experienced Customer Engagement specialist with experience of systems development and implementation of new systems</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i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iCs/>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Knowledge, Training &amp; Qualifications</w:t>
      </w:r>
    </w:p>
    <w:tbl>
      <w:tblPr>
        <w:tblW w:w="0" w:type="auto"/>
        <w:jc w:val="left"/>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CellMar>
          <w:top w:w="0" w:type="dxa"/>
          <w:left w:w="108" w:type="dxa"/>
          <w:bottom w:w="0" w:type="dxa"/>
          <w:right w:w="108" w:type="dxa"/>
        </w:tblCellMar>
      </w:tblPr>
      <w:tblGrid>
        <w:gridCol w:w="9310"/>
        <w:gridCol w:w="1146"/>
      </w:tblGrid>
      <w:tr>
        <w:trPr>
          <w:trHeight w:val="278" w:hRule="atLeast"/>
        </w:trPr>
        <w:tc>
          <w:tcPr>
            <w:tcW w:w="93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Highly numerate and analytical with the ability to deliver business cases when required</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7" w:line="280" w:lineRule="atLeast"/>
              <w:jc w:val="both"/>
              <w:rPr>
                <w:sz w:val="22"/>
                <w:szCs w:val="22"/>
                <w:lang w:val="en-GB" w:eastAsia="en-GB" w:bidi="en-GB"/>
              </w:rPr>
            </w:pPr>
            <w:r>
              <w:rPr>
                <w:sz w:val="22"/>
                <w:szCs w:val="22"/>
                <w:lang w:val="en-GB" w:eastAsia="en-GB" w:bidi="en-GB"/>
              </w:rPr>
              <w:t xml:space="preserve">Excellent communication and presentation skills</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7" w:line="280" w:lineRule="atLeast"/>
              <w:jc w:val="both"/>
              <w:rPr>
                <w:sz w:val="22"/>
                <w:szCs w:val="22"/>
                <w:lang w:val="en-GB" w:eastAsia="en-GB" w:bidi="en-GB"/>
              </w:rPr>
            </w:pPr>
            <w:r>
              <w:rPr>
                <w:sz w:val="22"/>
                <w:szCs w:val="22"/>
                <w:lang w:val="en-GB" w:eastAsia="en-GB" w:bidi="en-GB"/>
              </w:rPr>
              <w:t xml:space="preserve">Excellent organisation, time management and presentation skills</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Essential</w:t>
            </w:r>
          </w:p>
        </w:tc>
      </w:tr>
      <w:tr>
        <w:trPr>
          <w:trHeight w:val="278" w:hRule="atLeast"/>
        </w:trPr>
        <w:tc>
          <w:tcPr>
            <w:tcW w:w="93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Effective IT skills including: Word, Excel, PowerPoint, Outlook </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r>
        <w:trPr>
          <w:trHeight w:val="278" w:hRule="atLeast"/>
        </w:trPr>
        <w:tc>
          <w:tcPr>
            <w:tcW w:w="93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Educated to degree level or equivalent</w:t>
            </w:r>
          </w:p>
        </w:tc>
        <w:tc>
          <w:tcPr>
            <w:tcW w:w="1146"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Desirable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iCs/>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4"/>
          <w:szCs w:val="24"/>
          <w:lang w:val="en-GB" w:eastAsia="en-GB" w:bidi="en-GB"/>
        </w:rPr>
      </w:pPr>
      <w:r>
        <w:rPr>
          <w:sz w:val="24"/>
          <w:szCs w:val="24"/>
          <w:lang w:val="en-GB" w:eastAsia="en-GB" w:bidi="en-GB"/>
        </w:rPr>
        <w:t xml:space="preserve">Personal Attributes (Our Values)</w:t>
      </w:r>
    </w:p>
    <w:tbl>
      <w:tblPr>
        <w:tblW w:w="0" w:type="auto"/>
        <w:jc w:val="left"/>
        <w:tblInd w:w="7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top w:w="0" w:type="dxa"/>
          <w:left w:w="108" w:type="dxa"/>
          <w:bottom w:w="0" w:type="dxa"/>
          <w:right w:w="108" w:type="dxa"/>
        </w:tblCellMar>
      </w:tblPr>
      <w:tblGrid>
        <w:gridCol w:w="1471"/>
        <w:gridCol w:w="8635"/>
      </w:tblGrid>
      <w:tr>
        <w:trPr>
          <w:trHeight w:val="755"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Inclusion</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GB" w:eastAsia="en-GB" w:bidi="en-GB"/>
              </w:rPr>
            </w:pPr>
            <w:r>
              <w:rPr>
                <w:lang w:val="en-GB" w:eastAsia="en-GB" w:bidi="en-GB"/>
              </w:rPr>
              <w:t xml:space="preserve">I make people feel welcome.</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GB" w:eastAsia="en-GB" w:bidi="en-GB"/>
              </w:rPr>
            </w:pPr>
            <w:r>
              <w:rPr>
                <w:lang w:val="en-GB" w:eastAsia="en-GB" w:bidi="en-GB"/>
              </w:rPr>
              <w:t xml:space="preserve">I recognise the power of our differences.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lang w:val="en-GB" w:eastAsia="en-GB" w:bidi="en-GB"/>
              </w:rPr>
            </w:pPr>
            <w:r>
              <w:rPr>
                <w:lang w:val="en-GB" w:eastAsia="en-GB" w:bidi="en-GB"/>
              </w:rPr>
              <w:t xml:space="preserve">I create a safe environment.</w:t>
            </w:r>
          </w:p>
        </w:tc>
      </w:tr>
      <w:tr>
        <w:trPr>
          <w:trHeight w:val="755"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Teamwork</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collaborate well across teams.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actively listen to others. </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actively offer to help others.</w:t>
            </w:r>
          </w:p>
        </w:tc>
      </w:tr>
      <w:tr>
        <w:trPr>
          <w:trHeight w:val="633"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Integrity</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act with honesty and respect.</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take responsibility for my actions.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am dependable.</w:t>
            </w:r>
          </w:p>
        </w:tc>
      </w:tr>
      <w:tr>
        <w:trPr>
          <w:trHeight w:val="74"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Passion</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approach things with a positive mindset.</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motivate and energise others.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take pride in my work. </w:t>
            </w:r>
          </w:p>
        </w:tc>
      </w:tr>
      <w:tr>
        <w:trPr>
          <w:trHeight w:val="862" w:hRule="atLeast"/>
        </w:trPr>
        <w:tc>
          <w:tcPr>
            <w:tcW w:w="1471" w:type="dxa"/>
            <w:shd w:val="clear" w:color="auto" w:fill="auto"/>
            <w:vAlign w:val="top"/>
          </w:tcPr>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3"/>
              <w:rPr>
                <w:b/>
                <w:bCs/>
                <w:i/>
                <w:iCs/>
                <w:lang w:val="en-GB" w:eastAsia="en-GB" w:bidi="en-GB"/>
              </w:rPr>
            </w:pPr>
            <w:r>
              <w:rPr>
                <w:b/>
                <w:bCs/>
                <w:i/>
                <w:iCs/>
                <w:lang w:val="en-GB" w:eastAsia="en-GB" w:bidi="en-GB"/>
              </w:rPr>
              <w:t xml:space="preserve">Excellence</w:t>
            </w:r>
          </w:p>
        </w:tc>
        <w:tc>
          <w:tcPr>
            <w:tcW w:w="8635" w:type="dxa"/>
            <w:shd w:val="clear" w:color="auto" w:fill="auto"/>
            <w:vAlign w:val="top"/>
          </w:tcPr>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am ambitious and want to exceed expectations.</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want to learn more to improve.</w:t>
            </w:r>
          </w:p>
          <w:p>
            <w:pPr>
              <w:pStyle w:val="Normal"/>
              <w:numPr>
                <w:ilvl w:val="0"/>
                <w:numId w:val="4"/>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hanging="360"/>
              <w:rPr>
                <w:lang w:val="en-GB" w:eastAsia="en-GB" w:bidi="en-GB"/>
              </w:rPr>
            </w:pPr>
            <w:r>
              <w:rPr>
                <w:lang w:val="en-GB" w:eastAsia="en-GB" w:bidi="en-GB"/>
              </w:rPr>
              <w:t xml:space="preserve">I am adaptable to change.</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i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i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lang w:val="en-GB" w:eastAsia="en-GB" w:bidi="en-GB"/>
        </w:rPr>
        <w:t xml:space="preserve">We know some people are less likely to apply unless they meet every requirement. However, if you’re excited by this role and believe you could make an impact, we’d love to hear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iCs/>
          <w:lang w:val="en-GB" w:eastAsia="en-GB" w:bidi="en-GB"/>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1A7BC0"/>
          <w:sz w:val="24"/>
          <w:szCs w:val="24"/>
          <w:lang w:val="en-GB" w:eastAsia="en-GB" w:bidi="en-GB"/>
        </w:rPr>
      </w:pPr>
      <w:r>
        <w:rPr>
          <w:color w:val="1A7BC0"/>
          <w:sz w:val="24"/>
          <w:szCs w:val="24"/>
          <w:lang w:val="en-GB" w:eastAsia="en-GB" w:bidi="en-GB"/>
        </w:rPr>
        <w:t xml:space="preserve">Life at the LTA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The LTA, through its vision 'Tennis Opened Up', is committed to creating an inclusive environment where all colleagues feel included and a strong sense of belonging. We particularly welcome applications from people from ethnically diverse communities, deaf and disabled people, members of the LGBTQ+ community and people with lived experience of the UK's many and varied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lang w:val="en-GB" w:eastAsia="en-GB" w:bidi="en-GB"/>
        </w:rPr>
        <w:t xml:space="preserve">Read some of our colleague testimonials below and find out more about our LTA benefits </w:t>
      </w:r>
      <w:r>
        <w:rPr>
          <w:rStyle w:val="Hyperlink"/>
          <w:lang w:val="en-GB" w:eastAsia="en-GB" w:bidi="en-GB"/>
        </w:rPr>
        <w:fldChar w:fldCharType="begin"/>
      </w:r>
      <w:r>
        <w:rPr>
          <w:rStyle w:val="Hyperlink"/>
          <w:lang w:val="en-GB" w:eastAsia="en-GB" w:bidi="en-GB"/>
        </w:rPr>
        <w:instrText xml:space="preserve"> HYPERLINK "https://www.lta.org.uk/about-us/careers/rewards-and-benefits/" </w:instrText>
      </w:r>
      <w:r>
        <w:rPr>
          <w:rStyle w:val="Hyperlink"/>
          <w:lang w:val="en-GB" w:eastAsia="en-GB" w:bidi="en-GB"/>
        </w:rPr>
        <w:fldChar w:fldCharType="separate"/>
      </w:r>
      <w:r>
        <w:rPr>
          <w:rStyle w:val="Hyperlink"/>
          <w:lang w:val="en-GB" w:eastAsia="en-GB" w:bidi="en-GB"/>
        </w:rPr>
        <w:t xml:space="preserve">here</w:t>
      </w:r>
      <w:r>
        <w:rPr>
          <w:lang w:val="en-GB" w:eastAsia="en-GB" w:bidi="en-GB"/>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IntenseQuote"/>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rPr>
          <w:color w:val="auto"/>
          <w:lang w:val="en-GB" w:eastAsia="en-GB" w:bidi="en-GB"/>
        </w:rPr>
      </w:pPr>
      <w:r>
        <w:rPr>
          <w:color w:val="auto"/>
          <w:lang w:val="en-GB" w:eastAsia="en-GB" w:bidi="en-GB"/>
        </w:rPr>
        <w:t xml:space="preserve">“As a new mum, I’ve appreciated the LTA’s newly enhanced benefits, which have supported me during maternity leave and in my return to work. In total, I have been with the LTA for four years and love the diversity of my role.”</w:t>
      </w:r>
    </w:p>
    <w:p>
      <w:pPr>
        <w:pStyle w:val="IntenseQuote"/>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rPr>
          <w:color w:val="auto"/>
          <w:lang w:val="en-GB" w:eastAsia="en-GB" w:bidi="en-GB"/>
        </w:rPr>
      </w:pPr>
      <w:r>
        <w:rPr>
          <w:color w:val="auto"/>
          <w:lang w:val="en-GB" w:eastAsia="en-GB" w:bidi="en-GB"/>
        </w:rPr>
        <w:t xml:space="preserve">“Everyone's respected in terms of the culture, ethnicity, and the background, so you don't feel inequal in any capacity. I remember how supportive my team had been during Ramadan, being fully understanding of its requirements and flexible with my work schedule.”</w:t>
      </w:r>
    </w:p>
    <w:p>
      <w:pPr>
        <w:pStyle w:val="IntenseQuote"/>
        <w:pBdr>
          <w:top w:val="none"/>
          <w:left w:val="none"/>
          <w:bottom w:val="none"/>
          <w:right w:val="none"/>
          <w:between w:val="nil"/>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rPr>
          <w:color w:val="auto"/>
          <w:lang w:val="en-GB" w:eastAsia="en-GB" w:bidi="en-GB"/>
        </w:rPr>
      </w:pPr>
    </w:p>
    <w:sectPr>
      <w:headerReference w:type="default" r:id="rId00008"/>
      <w:footerReference w:type="default" r:id="rId00009"/>
      <w:pgSz w:w="11906" w:h="16838"/>
      <w:pgMar w:top="720" w:right="720" w:bottom="1276" w:left="720" w:header="454" w:footer="454"/>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rial Bold">
    <w:panose1 w:val="020B0704020202020204"/>
    <w:charset w:val="00"/>
    <w:family w:val="roman"/>
    <w:pitch w:val="variable"/>
    <w:sig w:usb0="E0002EFF" w:usb1="C000785B" w:usb2="00000009" w:usb3="00000000" w:csb0="400001FF" w:csb1="FFFF0000"/>
  </w:font>
  <w:font w:name="Aptos Display">
    <w:charset w:val="00"/>
    <w:family w:val="swiss"/>
    <w:pitch w:val="variable"/>
  </w:font>
  <w:font w:name="Aptos">
    <w:charset w:val="00"/>
    <w:family w:val="swiss"/>
    <w:pitch w:val="variable"/>
  </w:font>
  <w:font w:name="Tahoma">
    <w:panose1 w:val="020B0604030504040204"/>
    <w:charset w:val="00"/>
    <w:family w:val="swiss"/>
    <w:pitch w:val="variable"/>
    <w:sig w:usb0="E1002EFF" w:usb1="C000605B" w:usb2="00000029" w:usb3="00000000" w:csb0="200101FF" w:csb1="20280000"/>
  </w:font>
  <w:font w:name="Ariall">
    <w:charset w:val="00"/>
    <w:family w:val="auto"/>
    <w:pitch w:val="default"/>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8640"/>
        <w:tab w:val="left" w:pos="9360"/>
        <w:tab w:val="left" w:pos="10080"/>
        <w:tab w:val="left" w:pos="10465"/>
        <w:tab w:val="left" w:pos="11520"/>
        <w:tab w:val="left" w:pos="12240"/>
        <w:tab w:val="left" w:pos="12960"/>
        <w:tab w:val="left" w:pos="13680"/>
        <w:tab w:val="left" w:pos="14400"/>
        <w:tab w:val="left" w:pos="15120"/>
        <w:tab w:val="left" w:pos="15840"/>
        <w:tab w:val="left" w:pos="16560"/>
      </w:tabs>
      <w:jc w:val="right"/>
      <w:rPr>
        <w:lang w:val="en-GB" w:eastAsia="en-GB" w:bidi="en-GB"/>
      </w:rPr>
    </w:pPr>
    <w:r>
      <w:rPr>
        <w:lang w:val="en-GB" w:eastAsia="en-GB" w:bidi="en-GB"/>
      </w:rPr>
      <w:drawing>
        <wp:inline distT="0" distB="0" distL="0" distR="0">
          <wp:extent cx="1325880" cy="455295"/>
          <wp:docPr id="1" name="Picture 5"/>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325880" cy="455295"/>
                  </a:xfrm>
                  <a:prstGeom prst="rect">
                    <a:avLst/>
                  </a:prstGeom>
                </pic:spPr>
              </pic:pic>
            </a:graphicData>
          </a:graphic>
        </wp:inline>
      </w:drawing>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7488"/>
    </w:tblGrid>
    <w:tr>
      <w:trPr>
        <w:trHeight w:val="284" w:hRule="atLeast"/>
      </w:trPr>
      <w:tc>
        <w:tcPr>
          <w:tcW w:w="7488" w:type="dxa"/>
          <w:shd w:val="clear" w:color="auto" w:fill="auto"/>
          <w:vAlign w:val="top"/>
        </w:tcPr>
        <w:p>
          <w:pPr>
            <w:pStyle w:val="Footer Re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tc>
    </w:tr>
  </w:tbl>
  <w:p>
    <w:pPr>
      <w:pStyle w:val="Header"/>
      <w:tabs>
        <w:tab w:val="left" w:pos="8640"/>
        <w:tab w:val="left" w:pos="9360"/>
        <w:tab w:val="left" w:pos="10080"/>
        <w:tab w:val="left" w:pos="10465"/>
        <w:tab w:val="left" w:pos="11520"/>
        <w:tab w:val="left" w:pos="12240"/>
        <w:tab w:val="left" w:pos="12960"/>
        <w:tab w:val="left" w:pos="13680"/>
        <w:tab w:val="left" w:pos="14400"/>
        <w:tab w:val="left" w:pos="15120"/>
        <w:tab w:val="left" w:pos="15840"/>
        <w:tab w:val="left" w:pos="16560"/>
      </w:tabs>
      <w:spacing w:after="360"/>
      <w:rPr>
        <w:color w:val="003591"/>
        <w:sz w:val="14"/>
        <w:szCs w:val="14"/>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pStyle w:val="Bulleted Text Level 1"/>
      <w:suff w:val="tab"/>
      <w:lvlText w:val=""/>
      <w:pPr>
        <w:ind w:left="284" w:hanging="284"/>
        <w:tabs>
          <w:tab w:val="num" w:pos="284"/>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pStyle w:val="Bulleted Text Level 2"/>
      <w:suff w:val="tab"/>
      <w:lvlText w:val="−"/>
      <w:pPr>
        <w:ind w:left="567" w:hanging="283"/>
        <w:tabs>
          <w:tab w:val="num" w:pos="567"/>
        </w:tabs>
      </w:pPr>
      <w:rPr>
        <w:rFonts w:hint="default" w:ascii="Ariall" w:hAnsi="Ariall" w:eastAsia="Ariall" w:cs="Ariall"/>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3">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2"/>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pPr>
    <w:rPr>
      <w:sz w:val="20"/>
      <w:szCs w:val="20"/>
      <w:lang w:val="en-GB" w:eastAsia="en-GB" w:bidi="en-GB"/>
    </w:rPr>
  </w:style>
  <w:style w:type="paragraph" w:styleId="Normal">
    <w:name w:val="Normal"/>
    <w:next w:val="Normal"/>
    <w:qFormat/>
    <w:pPr>
      <w:widowControl w:val="on"/>
      <w:shd w:val="clear" w:color="auto" w:fill="auto"/>
      <w:spacing w:before="0" w:after="0" w:line="250" w:lineRule="atLeast"/>
      <w:ind w:left="0" w:right="0" w:firstLine="0"/>
      <w:jc w:val="left"/>
      <w:outlineLvl w:val="9"/>
    </w:pPr>
    <w:rPr>
      <w:rFonts w:ascii="Arial" w:hAnsi="Arial" w:eastAsia="Arial" w:cs="Arial"/>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Footer Ref." w:customStyle="1">
    <w:name w:val="Footer Ref."/>
    <w:basedOn w:val="Normal"/>
    <w:next w:val="Footer Ref."/>
    <w:qFormat/>
    <w:pPr>
      <w:spacing w:line="200" w:lineRule="atLeast"/>
    </w:pPr>
    <w:rPr>
      <w:color w:val="003591"/>
      <w:sz w:val="14"/>
      <w:szCs w:val="14"/>
      <w:lang w:val="en-GB" w:eastAsia="en-GB" w:bidi="en-GB"/>
    </w:rPr>
  </w:style>
  <w:style w:type="paragraph" w:styleId="Header">
    <w:name w:val="header"/>
    <w:basedOn w:val="Normal"/>
    <w:next w:val="Header"/>
    <w:qFormat/>
    <w:pPr>
      <w:tabs>
        <w:tab w:val="center" w:pos="4153"/>
        <w:tab w:val="right" w:pos="8306"/>
      </w:tabs>
    </w:pPr>
    <w:rPr>
      <w:lang w:val="en-GB" w:eastAsia="en-GB" w:bidi="en-GB"/>
    </w:rPr>
  </w:style>
  <w:style w:type="paragraph" w:styleId="Footer">
    <w:name w:val="footer"/>
    <w:basedOn w:val="Normal"/>
    <w:next w:val="Footer"/>
    <w:qFormat/>
    <w:pPr>
      <w:tabs>
        <w:tab w:val="center" w:pos="4153"/>
        <w:tab w:val="right" w:pos="8306"/>
      </w:tabs>
    </w:pPr>
    <w:rPr>
      <w:lang w:val="en-GB" w:eastAsia="en-GB" w:bidi="en-GB"/>
    </w:rPr>
  </w:style>
  <w:style w:type="paragraph" w:styleId="Bulleted Text Level 1" w:customStyle="1">
    <w:name w:val="Bulleted Text Level 1"/>
    <w:basedOn w:val="Normal"/>
    <w:next w:val="Bulleted Text Level 1"/>
    <w:qFormat/>
    <w:pPr>
      <w:numPr>
        <w:ilvl w:val="0"/>
        <w:numId w:val="1"/>
      </w:numPr>
      <w:tabs>
        <w:tab w:val="left" w:pos="284"/>
      </w:tabs>
      <w:spacing w:after="120"/>
      <w:ind w:left="284" w:hanging="284"/>
    </w:pPr>
    <w:rPr>
      <w:lang w:val="en-GB" w:eastAsia="en-GB" w:bidi="en-GB"/>
    </w:rPr>
  </w:style>
  <w:style w:type="paragraph" w:styleId="Heading2">
    <w:name w:val="heading 2"/>
    <w:basedOn w:val="Normal"/>
    <w:next w:val="Normal"/>
    <w:qFormat/>
    <w:pPr>
      <w:keepNext/>
      <w:spacing w:after="80"/>
      <w:outlineLvl w:val="1"/>
    </w:pPr>
    <w:rPr>
      <w:rFonts w:ascii="Arial Bold" w:hAnsi="Arial Bold" w:eastAsia="Arial Bold" w:cs="Arial Bold"/>
      <w:b/>
      <w:bCs/>
      <w:color w:val="0086CB"/>
      <w:sz w:val="28"/>
      <w:szCs w:val="28"/>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IntenseQuote">
    <w:name w:val="Intense Quote"/>
    <w:basedOn w:val="Normal"/>
    <w:next w:val="Normal"/>
    <w:qFormat/>
    <w:pPr>
      <w:pBdr>
        <w:top w:val="single" w:sz="4" w:space="10" w:color="156082"/>
        <w:left w:val="none"/>
        <w:bottom w:val="single" w:sz="4" w:space="10" w:color="156082"/>
        <w:right w:val="none"/>
        <w:between w:val="single" w:sz="4" w:space="10" w:color="156082"/>
      </w:pBdr>
      <w:spacing w:before="360" w:after="360"/>
      <w:ind w:left="864" w:right="864"/>
      <w:jc w:val="center"/>
    </w:pPr>
    <w:rPr>
      <w:i/>
      <w:iCs/>
      <w:color w:val="156082"/>
      <w:lang w:val="en-GB" w:eastAsia="en-GB" w:bidi="en-GB"/>
    </w:rPr>
  </w:style>
  <w:style w:type="paragraph" w:styleId="Heading1">
    <w:name w:val="heading 1"/>
    <w:basedOn w:val="Normal"/>
    <w:next w:val="Normal"/>
    <w:qFormat/>
    <w:pPr>
      <w:keepNext/>
      <w:spacing w:after="580"/>
      <w:outlineLvl w:val="0"/>
    </w:pPr>
    <w:rPr>
      <w:rFonts w:ascii="Arial Bold" w:hAnsi="Arial Bold" w:eastAsia="Arial Bold" w:cs="Arial Bold"/>
      <w:b/>
      <w:bCs/>
      <w:color w:val="003591"/>
      <w:sz w:val="32"/>
      <w:szCs w:val="32"/>
      <w:lang w:val="en-GB" w:eastAsia="en-GB" w:bidi="en-GB"/>
    </w:rPr>
  </w:style>
  <w:style w:type="paragraph" w:styleId="TOCHeading">
    <w:name w:val="TOC Heading"/>
    <w:basedOn w:val="Heading1"/>
    <w:next w:val="Normal"/>
    <w:qFormat/>
    <w:pPr>
      <w:spacing w:before="240" w:after="60"/>
      <w:outlineLvl w:val="9"/>
    </w:pPr>
    <w:rPr>
      <w:rFonts w:ascii="Aptos Display" w:hAnsi="Aptos Display" w:eastAsia="Aptos Display" w:cs="Aptos Display"/>
      <w:color w:val="auto"/>
      <w:lang w:val="en-GB" w:eastAsia="en-GB" w:bidi="en-GB"/>
    </w:rPr>
  </w:style>
  <w:style w:type="paragraph" w:styleId="Heading3">
    <w:name w:val="heading 3"/>
    <w:basedOn w:val="Normal"/>
    <w:next w:val="Normal"/>
    <w:qFormat/>
    <w:pPr>
      <w:keepNext/>
      <w:spacing w:after="80"/>
      <w:outlineLvl w:val="2"/>
    </w:pPr>
    <w:rPr>
      <w:rFonts w:ascii="Arial Bold" w:hAnsi="Arial Bold" w:eastAsia="Arial Bold" w:cs="Arial Bold"/>
      <w:b/>
      <w:bCs/>
      <w:color w:val="0086CB"/>
      <w:lang w:val="en-GB" w:eastAsia="en-GB" w:bidi="en-GB"/>
    </w:rPr>
  </w:style>
  <w:style w:type="paragraph" w:styleId="Heading4">
    <w:name w:val="heading 4"/>
    <w:basedOn w:val="Normal"/>
    <w:next w:val="Normal"/>
    <w:qFormat/>
    <w:pPr>
      <w:keepNext/>
      <w:spacing w:after="80"/>
      <w:outlineLvl w:val="3"/>
    </w:pPr>
    <w:rPr>
      <w:i/>
      <w:iCs/>
      <w:color w:val="0086CB"/>
      <w:lang w:val="en-GB" w:eastAsia="en-GB" w:bidi="en-GB"/>
    </w:rPr>
  </w:style>
  <w:style w:type="paragraph" w:styleId="Heading5">
    <w:name w:val="heading 5"/>
    <w:basedOn w:val="Normal"/>
    <w:next w:val="Normal"/>
    <w:qFormat/>
    <w:pPr>
      <w:spacing w:before="240" w:after="60"/>
      <w:outlineLvl w:val="4"/>
    </w:pPr>
    <w:rPr>
      <w:rFonts w:ascii="Aptos" w:hAnsi="Aptos" w:eastAsia="Aptos" w:cs="Aptos"/>
      <w:b/>
      <w:bCs/>
      <w:i/>
      <w:iCs/>
      <w:sz w:val="26"/>
      <w:szCs w:val="26"/>
      <w:lang w:val="en-GB" w:eastAsia="en-GB" w:bidi="en-GB"/>
    </w:rPr>
  </w:style>
  <w:style w:type="paragraph" w:styleId="Heading6">
    <w:name w:val="heading 6"/>
    <w:basedOn w:val="Normal"/>
    <w:next w:val="Normal"/>
    <w:qFormat/>
    <w:pPr>
      <w:spacing w:before="240" w:after="60"/>
      <w:outlineLvl w:val="5"/>
    </w:pPr>
    <w:rPr>
      <w:rFonts w:ascii="Aptos" w:hAnsi="Aptos" w:eastAsia="Aptos" w:cs="Aptos"/>
      <w:b/>
      <w:bCs/>
      <w:lang w:val="en-GB" w:eastAsia="en-GB" w:bidi="en-GB"/>
    </w:rPr>
  </w:style>
  <w:style w:type="paragraph" w:styleId="Heading7">
    <w:name w:val="heading 7"/>
    <w:basedOn w:val="Normal"/>
    <w:next w:val="Normal"/>
    <w:qFormat/>
    <w:pPr>
      <w:spacing w:before="240" w:after="60"/>
      <w:outlineLvl w:val="6"/>
    </w:pPr>
    <w:rPr>
      <w:rFonts w:ascii="Aptos" w:hAnsi="Aptos" w:eastAsia="Aptos" w:cs="Aptos"/>
      <w:sz w:val="24"/>
      <w:szCs w:val="24"/>
      <w:lang w:val="en-GB" w:eastAsia="en-GB" w:bidi="en-GB"/>
    </w:rPr>
  </w:style>
  <w:style w:type="paragraph" w:styleId="Heading8">
    <w:name w:val="heading 8"/>
    <w:basedOn w:val="Normal"/>
    <w:next w:val="Normal"/>
    <w:qFormat/>
    <w:pPr>
      <w:spacing w:before="240" w:after="60"/>
      <w:outlineLvl w:val="7"/>
    </w:pPr>
    <w:rPr>
      <w:rFonts w:ascii="Aptos" w:hAnsi="Aptos" w:eastAsia="Aptos" w:cs="Aptos"/>
      <w:i/>
      <w:iCs/>
      <w:sz w:val="24"/>
      <w:szCs w:val="24"/>
      <w:lang w:val="en-GB" w:eastAsia="en-GB" w:bidi="en-GB"/>
    </w:rPr>
  </w:style>
  <w:style w:type="paragraph" w:styleId="Heading9">
    <w:name w:val="heading 9"/>
    <w:basedOn w:val="Normal"/>
    <w:next w:val="Normal"/>
    <w:qFormat/>
    <w:pPr>
      <w:spacing w:before="240" w:after="60"/>
      <w:outlineLvl w:val="8"/>
    </w:pPr>
    <w:rPr>
      <w:rFonts w:ascii="Aptos Display" w:hAnsi="Aptos Display" w:eastAsia="Aptos Display" w:cs="Aptos Display"/>
      <w:lang w:val="en-GB" w:eastAsia="en-GB" w:bidi="en-GB"/>
    </w:rPr>
  </w:style>
  <w:style w:type="paragraph" w:styleId="Private &amp; Confidential" w:customStyle="1">
    <w:name w:val="Private &amp; Confidential"/>
    <w:basedOn w:val="Normal"/>
    <w:next w:val="Private &amp; Confidential"/>
    <w:qFormat/>
    <w:pPr>
      <w:spacing w:after="60" w:line="300" w:lineRule="atLeast"/>
    </w:pPr>
    <w:rPr>
      <w:b/>
      <w:bCs/>
      <w:color w:val="003591"/>
      <w:sz w:val="24"/>
      <w:szCs w:val="24"/>
      <w:lang w:val="en-GB" w:eastAsia="en-GB" w:bidi="en-GB"/>
    </w:rPr>
  </w:style>
  <w:style w:type="paragraph" w:styleId="BodyText">
    <w:name w:val="Body Text"/>
    <w:basedOn w:val="Normal"/>
    <w:next w:val="BodyText"/>
    <w:qFormat/>
    <w:pPr>
      <w:spacing w:after="120"/>
    </w:pPr>
    <w:rPr>
      <w:lang w:val="en-GB" w:eastAsia="en-GB" w:bidi="en-GB"/>
    </w:rPr>
  </w:style>
  <w:style w:type="paragraph" w:styleId="Bold Text" w:customStyle="1">
    <w:name w:val="Bold Text"/>
    <w:basedOn w:val="Normal"/>
    <w:next w:val="Bold Text"/>
    <w:qFormat/>
    <w:pPr/>
    <w:rPr>
      <w:b/>
      <w:bCs/>
      <w:lang w:val="en-GB" w:eastAsia="en-GB" w:bidi="en-GB"/>
    </w:rPr>
  </w:style>
  <w:style w:type="paragraph" w:styleId="10pt Italic" w:customStyle="1">
    <w:name w:val="10pt Italic"/>
    <w:basedOn w:val="Normal"/>
    <w:next w:val="10pt Italic"/>
    <w:qFormat/>
    <w:pPr>
      <w:spacing w:after="60"/>
    </w:pPr>
    <w:rPr>
      <w:b/>
      <w:bCs/>
      <w:i/>
      <w:iCs/>
      <w:sz w:val="20"/>
      <w:szCs w:val="20"/>
      <w:lang w:val="en-GB" w:eastAsia="en-GB" w:bidi="en-GB"/>
    </w:rPr>
  </w:style>
  <w:style w:type="paragraph" w:styleId="BalloonText">
    <w:name w:val="Balloon Text"/>
    <w:basedOn w:val="Normal"/>
    <w:next w:val="BalloonText"/>
    <w:qFormat/>
    <w:pPr>
      <w:spacing w:line="240" w:lineRule="auto"/>
    </w:pPr>
    <w:rPr>
      <w:rFonts w:ascii="Tahoma" w:hAnsi="Tahoma" w:eastAsia="Tahoma" w:cs="Tahoma"/>
      <w:sz w:val="16"/>
      <w:szCs w:val="16"/>
      <w:lang w:val="en-GB" w:eastAsia="en-GB" w:bidi="en-GB"/>
    </w:rPr>
  </w:style>
  <w:style w:type="paragraph" w:styleId="Bulleted Text Level 2" w:customStyle="1">
    <w:name w:val="Bulleted Text Level 2"/>
    <w:basedOn w:val="Normal"/>
    <w:next w:val="Bulleted Text Level 2"/>
    <w:qFormat/>
    <w:pPr>
      <w:numPr>
        <w:ilvl w:val="0"/>
        <w:numId w:val="2"/>
      </w:numPr>
      <w:tabs>
        <w:tab w:val="left" w:pos="567"/>
      </w:tabs>
      <w:spacing w:after="120"/>
      <w:ind w:left="567" w:hanging="283"/>
    </w:pPr>
    <w:rPr>
      <w:lang w:val="en-GB" w:eastAsia="en-GB" w:bidi="en-GB"/>
    </w:rPr>
  </w:style>
  <w:style w:type="paragraph" w:styleId="Additional Cover Information" w:customStyle="1">
    <w:name w:val="Additional Cover Information"/>
    <w:basedOn w:val="Normal"/>
    <w:next w:val="Additional Cover Information"/>
    <w:qFormat/>
    <w:pPr>
      <w:spacing w:after="120"/>
    </w:pPr>
    <w:rPr>
      <w:lang w:val="en-GB" w:eastAsia="en-GB" w:bidi="en-GB"/>
    </w:rPr>
  </w:style>
  <w:style w:type="paragraph" w:styleId="Bulleted Text" w:customStyle="1">
    <w:name w:val="Bulleted Text"/>
    <w:basedOn w:val="Normal"/>
    <w:next w:val="Bulleted Text"/>
    <w:qFormat/>
    <w:pPr>
      <w:tabs>
        <w:tab w:val="left" w:pos="170"/>
      </w:tabs>
      <w:spacing w:line="280" w:lineRule="atLeast"/>
      <w:ind w:left="170" w:hanging="170"/>
    </w:pPr>
    <w:rPr>
      <w:sz w:val="20"/>
      <w:szCs w:val="20"/>
      <w:lang w:val="en-GB" w:eastAsia="en-GB" w:bidi="en-GB"/>
    </w:rPr>
  </w:style>
  <w:style w:type="paragraph" w:styleId="BodyText2">
    <w:name w:val="Body Text 2"/>
    <w:basedOn w:val="Normal"/>
    <w:next w:val="BodyText2"/>
    <w:qFormat/>
    <w:pPr>
      <w:spacing w:after="120" w:line="480" w:lineRule="auto"/>
    </w:pPr>
    <w:rPr>
      <w:rFonts w:ascii="Calibri" w:hAnsi="Calibri" w:eastAsia="Calibri" w:cs="Calibri"/>
      <w:lang w:val="en-GB" w:eastAsia="en-GB" w:bidi="en-GB"/>
    </w:rPr>
  </w:style>
  <w:style w:type="paragraph" w:styleId="CommentText">
    <w:name w:val="annotation text"/>
    <w:basedOn w:val="Normal"/>
    <w:next w:val="CommentText"/>
    <w:qFormat/>
    <w:pPr>
      <w:spacing w:line="240" w:lineRule="auto"/>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paragraph" w:styleId="Caption">
    <w:name w:val="caption"/>
    <w:basedOn w:val="Normal"/>
    <w:next w:val="Normal"/>
    <w:qFormat/>
    <w:pPr/>
    <w:rPr>
      <w:b/>
      <w:bCs/>
      <w:sz w:val="20"/>
      <w:szCs w:val="20"/>
      <w:lang w:val="en-GB" w:eastAsia="en-GB" w:bidi="en-GB"/>
    </w:rPr>
  </w:style>
  <w:style w:type="paragraph" w:styleId="Quote">
    <w:name w:val="Quote"/>
    <w:basedOn w:val="Normal"/>
    <w:next w:val="Normal"/>
    <w:qFormat/>
    <w:pPr>
      <w:spacing w:before="200" w:after="160"/>
      <w:ind w:left="864" w:right="864"/>
      <w:jc w:val="center"/>
    </w:pPr>
    <w:rPr>
      <w:i/>
      <w:iCs/>
      <w:color w:val="404040"/>
      <w:lang w:val="en-GB" w:eastAsia="en-GB" w:bidi="en-GB"/>
    </w:rPr>
  </w:style>
  <w:style w:type="paragraph" w:styleId="Subtitle">
    <w:name w:val="Subtitle"/>
    <w:basedOn w:val="Normal"/>
    <w:next w:val="Normal"/>
    <w:qFormat/>
    <w:pPr>
      <w:spacing w:after="60"/>
      <w:jc w:val="center"/>
      <w:outlineLvl w:val="1"/>
    </w:pPr>
    <w:rPr>
      <w:rFonts w:ascii="Aptos Display" w:hAnsi="Aptos Display" w:eastAsia="Aptos Display" w:cs="Aptos Display"/>
      <w:sz w:val="24"/>
      <w:szCs w:val="24"/>
      <w:lang w:val="en-GB" w:eastAsia="en-GB" w:bidi="en-GB"/>
    </w:rPr>
  </w:style>
  <w:style w:type="paragraph" w:styleId="Title">
    <w:name w:val="Title"/>
    <w:basedOn w:val="Normal"/>
    <w:next w:val="Normal"/>
    <w:qFormat/>
    <w:pPr>
      <w:spacing w:before="240" w:after="60"/>
      <w:jc w:val="center"/>
      <w:outlineLvl w:val="0"/>
    </w:pPr>
    <w:rPr>
      <w:rFonts w:ascii="Aptos Display" w:hAnsi="Aptos Display" w:eastAsia="Aptos Display" w:cs="Aptos Display"/>
      <w:b/>
      <w:bCs/>
      <w:sz w:val="32"/>
      <w:szCs w:val="32"/>
      <w:lang w:val="en-GB" w:eastAsia="en-GB" w:bidi="en-GB"/>
    </w:rPr>
  </w:style>
  <w:style w:type="paragraph" w:styleId="Default" w:customStyle="1">
    <w:name w:val="Default"/>
    <w:basedOn w:val="[Normal]"/>
    <w:next w:val="Default"/>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color w:val="000000"/>
      <w:sz w:val="24"/>
      <w:szCs w:val="24"/>
      <w:lang w:val="en-GB" w:eastAsia="en-GB" w:bidi="en-GB"/>
    </w:rPr>
  </w:style>
  <w:style w:type="character" w:styleId="Hyperlink">
    <w:name w:val="Hyperlink"/>
    <w:qFormat/>
    <w:rPr>
      <w:color w:val="0000FF"/>
      <w:u w:val="single"/>
      <w:rtl w:val="off"/>
    </w:rPr>
  </w:style>
  <w:style w:type="character" w:styleId="Balloon Text Char" w:customStyle="1">
    <w:name w:val="Balloon Text Char"/>
    <w:qFormat/>
    <w:rPr>
      <w:rFonts w:ascii="Tahoma" w:hAnsi="Tahoma" w:eastAsia="Tahoma" w:cs="Tahoma"/>
      <w:sz w:val="16"/>
      <w:szCs w:val="16"/>
      <w:rtl w:val="off"/>
      <w:lang w:val="en-GB" w:eastAsia="en-GB" w:bidi="en-GB"/>
    </w:rPr>
  </w:style>
  <w:style w:type="character" w:styleId="Body Text 2 Char" w:customStyle="1">
    <w:name w:val="Body Text 2 Char"/>
    <w:qFormat/>
    <w:rPr>
      <w:rFonts w:ascii="Calibri" w:hAnsi="Calibri" w:eastAsia="Calibri" w:cs="Calibri"/>
      <w:sz w:val="22"/>
      <w:szCs w:val="22"/>
      <w:rtl w:val="off"/>
    </w:rPr>
  </w:style>
  <w:style w:type="character" w:styleId="CommentReference">
    <w:name w:val="annotation reference"/>
    <w:qFormat/>
    <w:rPr>
      <w:sz w:val="16"/>
      <w:szCs w:val="16"/>
      <w:rtl w:val="off"/>
    </w:rPr>
  </w:style>
  <w:style w:type="character" w:styleId="Comment Text Char" w:customStyle="1">
    <w:name w:val="Comment Text Char"/>
    <w:qFormat/>
    <w:rPr>
      <w:rFonts w:ascii="Arial" w:hAnsi="Arial" w:eastAsia="Arial" w:cs="Arial"/>
      <w:rtl w:val="off"/>
      <w:lang w:val="en-GB" w:eastAsia="en-GB" w:bidi="en-GB"/>
    </w:rPr>
  </w:style>
  <w:style w:type="character" w:styleId="Comment Subject Char" w:customStyle="1">
    <w:name w:val="Comment Subject Char"/>
    <w:qFormat/>
    <w:rPr>
      <w:rFonts w:ascii="Arial" w:hAnsi="Arial" w:eastAsia="Arial" w:cs="Arial"/>
      <w:b/>
      <w:bCs/>
      <w:rtl w:val="off"/>
      <w:lang w:val="en-GB" w:eastAsia="en-GB" w:bidi="en-GB"/>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2"/>
      <w:szCs w:val="22"/>
      <w:lang w:val="en-GB" w:eastAsia="en-GB" w:bidi="en-GB"/>
    </w:rPr>
  </w:style>
  <w:style w:type="character" w:styleId="Heading 2 Char" w:customStyle="1">
    <w:name w:val="Heading 2 Char"/>
    <w:qFormat/>
    <w:rPr>
      <w:rFonts w:ascii="Arial Bold" w:hAnsi="Arial Bold" w:eastAsia="Arial Bold" w:cs="Arial Bold"/>
      <w:b/>
      <w:bCs/>
      <w:i w:val="off"/>
      <w:iCs w:val="off"/>
      <w:color w:val="0086CB"/>
      <w:sz w:val="28"/>
      <w:szCs w:val="28"/>
      <w:rtl w:val="off"/>
      <w:lang w:val="en-GB" w:eastAsia="en-GB" w:bidi="en-GB"/>
    </w:rPr>
  </w:style>
  <w:style w:type="character" w:styleId="Intense Quote Char" w:customStyle="1">
    <w:name w:val="Intense Quote Char"/>
    <w:qFormat/>
    <w:rPr>
      <w:rFonts w:ascii="Arial" w:hAnsi="Arial" w:eastAsia="Arial" w:cs="Arial"/>
      <w:i/>
      <w:iCs/>
      <w:color w:val="156082"/>
      <w:sz w:val="22"/>
      <w:szCs w:val="22"/>
      <w:rtl w:val="off"/>
      <w:lang w:val="en-GB" w:eastAsia="en-GB" w:bidi="en-GB"/>
    </w:rPr>
  </w:style>
  <w:style w:type="character" w:styleId="BookTitle">
    <w:name w:val="Book Title"/>
    <w:qFormat/>
    <w:rPr>
      <w:b/>
      <w:bCs/>
      <w:i/>
      <w:iCs/>
      <w:spacing w:val="5"/>
      <w:rtl w:val="off"/>
    </w:rPr>
  </w:style>
  <w:style w:type="character" w:styleId="Emphasis">
    <w:name w:val="Emphasis"/>
    <w:qFormat/>
    <w:rPr>
      <w:i/>
      <w:iCs/>
      <w:rtl w:val="off"/>
    </w:rPr>
  </w:style>
  <w:style w:type="character" w:styleId="Heading 5 Char" w:customStyle="1">
    <w:name w:val="Heading 5 Char"/>
    <w:qFormat/>
    <w:rPr>
      <w:rFonts w:ascii="Aptos" w:hAnsi="Aptos" w:eastAsia="Aptos" w:cs="Aptos"/>
      <w:b/>
      <w:bCs/>
      <w:i/>
      <w:iCs/>
      <w:sz w:val="26"/>
      <w:szCs w:val="26"/>
      <w:rtl w:val="off"/>
      <w:lang w:val="en-GB" w:eastAsia="en-GB" w:bidi="en-GB"/>
    </w:rPr>
  </w:style>
  <w:style w:type="character" w:styleId="Heading 6 Char" w:customStyle="1">
    <w:name w:val="Heading 6 Char"/>
    <w:qFormat/>
    <w:rPr>
      <w:rFonts w:ascii="Aptos" w:hAnsi="Aptos" w:eastAsia="Aptos" w:cs="Aptos"/>
      <w:b/>
      <w:bCs/>
      <w:sz w:val="22"/>
      <w:szCs w:val="22"/>
      <w:rtl w:val="off"/>
      <w:lang w:val="en-GB" w:eastAsia="en-GB" w:bidi="en-GB"/>
    </w:rPr>
  </w:style>
  <w:style w:type="character" w:styleId="Heading 7 Char" w:customStyle="1">
    <w:name w:val="Heading 7 Char"/>
    <w:qFormat/>
    <w:rPr>
      <w:rFonts w:ascii="Aptos" w:hAnsi="Aptos" w:eastAsia="Aptos" w:cs="Aptos"/>
      <w:sz w:val="24"/>
      <w:szCs w:val="24"/>
      <w:rtl w:val="off"/>
      <w:lang w:val="en-GB" w:eastAsia="en-GB" w:bidi="en-GB"/>
    </w:rPr>
  </w:style>
  <w:style w:type="character" w:styleId="Heading 8 Char" w:customStyle="1">
    <w:name w:val="Heading 8 Char"/>
    <w:qFormat/>
    <w:rPr>
      <w:rFonts w:ascii="Aptos" w:hAnsi="Aptos" w:eastAsia="Aptos" w:cs="Aptos"/>
      <w:i/>
      <w:iCs/>
      <w:sz w:val="24"/>
      <w:szCs w:val="24"/>
      <w:rtl w:val="off"/>
      <w:lang w:val="en-GB" w:eastAsia="en-GB" w:bidi="en-GB"/>
    </w:rPr>
  </w:style>
  <w:style w:type="character" w:styleId="Heading 9 Char" w:customStyle="1">
    <w:name w:val="Heading 9 Char"/>
    <w:qFormat/>
    <w:rPr>
      <w:rFonts w:ascii="Aptos Display" w:hAnsi="Aptos Display" w:eastAsia="Aptos Display" w:cs="Aptos Display"/>
      <w:sz w:val="22"/>
      <w:szCs w:val="22"/>
      <w:rtl w:val="off"/>
      <w:lang w:val="en-GB" w:eastAsia="en-GB" w:bidi="en-GB"/>
    </w:rPr>
  </w:style>
  <w:style w:type="character" w:styleId="IntenseEmphasis">
    <w:name w:val="Intense Emphasis"/>
    <w:qFormat/>
    <w:rPr>
      <w:i/>
      <w:iCs/>
      <w:color w:val="156082"/>
      <w:rtl w:val="off"/>
    </w:rPr>
  </w:style>
  <w:style w:type="character" w:styleId="IntenseReference">
    <w:name w:val="Intense Reference"/>
    <w:qFormat/>
    <w:rPr>
      <w:b/>
      <w:bCs/>
      <w:caps w:val="off"/>
      <w:smallCaps/>
      <w:color w:val="156082"/>
      <w:spacing w:val="5"/>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2"/>
      <w:szCs w:val="22"/>
      <w:lang w:val="en-GB" w:eastAsia="en-GB" w:bidi="en-GB"/>
    </w:rPr>
  </w:style>
  <w:style w:type="character" w:styleId="Quote Char" w:customStyle="1">
    <w:name w:val="Quote Char"/>
    <w:qFormat/>
    <w:rPr>
      <w:rFonts w:ascii="Arial" w:hAnsi="Arial" w:eastAsia="Arial" w:cs="Arial"/>
      <w:i/>
      <w:iCs/>
      <w:color w:val="404040"/>
      <w:sz w:val="22"/>
      <w:szCs w:val="22"/>
      <w:rtl w:val="off"/>
      <w:lang w:val="en-GB" w:eastAsia="en-GB" w:bidi="en-GB"/>
    </w:rPr>
  </w:style>
  <w:style w:type="character" w:styleId="Strong">
    <w:name w:val="Strong"/>
    <w:qFormat/>
    <w:rPr>
      <w:b/>
      <w:bCs/>
      <w:rtl w:val="off"/>
    </w:rPr>
  </w:style>
  <w:style w:type="character" w:styleId="Subtitle Char" w:customStyle="1">
    <w:name w:val="Subtitle Char"/>
    <w:qFormat/>
    <w:rPr>
      <w:rFonts w:ascii="Aptos Display" w:hAnsi="Aptos Display" w:eastAsia="Aptos Display" w:cs="Aptos Display"/>
      <w:sz w:val="24"/>
      <w:szCs w:val="24"/>
      <w:rtl w:val="off"/>
      <w:lang w:val="en-GB" w:eastAsia="en-GB" w:bidi="en-GB"/>
    </w:rPr>
  </w:style>
  <w:style w:type="character" w:styleId="SubtleEmphasis">
    <w:name w:val="Subtle Emphasis"/>
    <w:qFormat/>
    <w:rPr>
      <w:i/>
      <w:iCs/>
      <w:color w:val="404040"/>
      <w:rtl w:val="off"/>
    </w:rPr>
  </w:style>
  <w:style w:type="character" w:styleId="SubtleReference">
    <w:name w:val="Subtle Reference"/>
    <w:qFormat/>
    <w:rPr>
      <w:caps w:val="off"/>
      <w:smallCaps/>
      <w:color w:val="5A5A5A"/>
      <w:rtl w:val="off"/>
    </w:rPr>
  </w:style>
  <w:style w:type="character" w:styleId="Title Char" w:customStyle="1">
    <w:name w:val="Title Char"/>
    <w:qFormat/>
    <w:rPr>
      <w:rFonts w:ascii="Aptos Display" w:hAnsi="Aptos Display" w:eastAsia="Aptos Display" w:cs="Aptos Display"/>
      <w:b/>
      <w:bCs/>
      <w:sz w:val="32"/>
      <w:szCs w:val="32"/>
      <w:rtl w:val="off"/>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8" Type="http://schemas.openxmlformats.org/officeDocument/2006/relationships/header" Target="header0001.xml"/>
	<Relationship Id="rId00009" Type="http://schemas.openxmlformats.org/officeDocument/2006/relationships/footer" Target="footer0001.xml"/>
	<Relationship Id="rId00007" Type="http://schemas.openxmlformats.org/officeDocument/2006/relationships/image" Target="media/image0002.png"/>
	<Relationship Id="rId00010" Type="http://schemas.openxmlformats.org/officeDocument/2006/relationships/numbering" Target="numbering.xml"/>
	<Relationship Id="rId00011" Type="http://schemas.openxmlformats.org/officeDocument/2006/relationships/fontTable" Target="fontTable.xml"/>
	<Relationship Id="rId00012" Type="http://schemas.openxmlformats.org/officeDocument/2006/relationships/settings" Target="settings.xml"/>
</Relationships>
</file>

<file path=word/_rels/footer0001.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creator>Beth Stallwood</dc:creator>
  <dcterms:created xsi:type="dcterms:W3CDTF">2026-07-30T08:59:00Z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0x0101001A723DEBC27DE249BCC228C9C7566C22</vt:lpwstr>
  </property>
</Properties>
</file>