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Bold" w:hAnsi="Arial Bold" w:eastAsia="Arial Bold" w:cs="Arial Bold"/>
          <w:color w:val="1A7BC0"/>
          <w:sz w:val="32"/>
          <w:szCs w:val="32"/>
          <w:lang w:val="en-GB" w:eastAsia="en-GB" w:bidi="en-GB"/>
        </w:rPr>
      </w:pPr>
      <w:r>
        <w:drawing>
          <wp:anchor distT="0" distB="0" distL="114300" distR="114300" simplePos="0" relativeHeight="251659263" behindDoc="0" locked="0" layoutInCell="1" hidden="0" allowOverlap="1">
            <wp:simplePos x="0" y="0"/>
            <wp:positionH relativeFrom="page">
              <wp:posOffset>5724525</wp:posOffset>
            </wp:positionH>
            <wp:positionV relativeFrom="page">
              <wp:posOffset>652780</wp:posOffset>
            </wp:positionV>
            <wp:extent cx="1054735" cy="1054735"/>
            <wp:wrapSquare wrapText="bothSides"/>
            <wp:docPr id="2" name="Picture 9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054735" cy="1054735"/>
                    </a:xfrm>
                    <a:prstGeom prst="rect">
                      <a:avLst/>
                    </a:prstGeom>
                  </pic:spPr>
                </pic:pic>
              </a:graphicData>
            </a:graphic>
          </wp:anchor>
        </w:drawing>
      </w:r>
      <w:r>
        <w:drawing>
          <wp:anchor distT="0" distB="0" distL="114300" distR="114300" simplePos="0" relativeHeight="251660287" behindDoc="0" locked="0" layoutInCell="1" hidden="0" allowOverlap="1">
            <wp:simplePos x="0" y="0"/>
            <wp:positionH relativeFrom="page">
              <wp:posOffset>567690</wp:posOffset>
            </wp:positionH>
            <wp:positionV relativeFrom="page">
              <wp:posOffset>756920</wp:posOffset>
            </wp:positionV>
            <wp:extent cx="2905125" cy="704850"/>
            <wp:wrapSquare wrapText="bothSides"/>
            <wp:docPr id="3" name="Picture 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2905125" cy="704850"/>
                    </a:xfrm>
                    <a:prstGeom prst="rect">
                      <a:avLst/>
                    </a:prstGeom>
                  </pic:spPr>
                </pic:pic>
              </a:graphicData>
            </a:graphic>
          </wp:anchor>
        </w:drawing>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color w:val="0086CB"/>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color w:val="0086CB"/>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color w:val="0086CB"/>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color w:val="0086CB"/>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color w:val="0086CB"/>
          <w:sz w:val="28"/>
          <w:szCs w:val="28"/>
          <w:lang w:val="en-GB" w:eastAsia="en-GB" w:bidi="en-GB"/>
        </w:rPr>
      </w:pPr>
      <w:r>
        <w:rPr>
          <w:rFonts w:ascii="Arial Bold" w:hAnsi="Arial Bold" w:eastAsia="Arial Bold" w:cs="Arial Bold"/>
          <w:b/>
          <w:bCs/>
          <w:color w:val="0086CB"/>
          <w:sz w:val="28"/>
          <w:szCs w:val="28"/>
          <w:lang w:val="en-GB" w:eastAsia="en-GB" w:bidi="en-GB"/>
        </w:rPr>
        <w:t xml:space="preserve">Padel Workforce Education &amp; Support Manager</w:t>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sz w:val="24"/>
          <w:szCs w:val="24"/>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val="en-GB" w:eastAsia="en-GB" w:bidi="en-GB"/>
        </w:rPr>
      </w:pPr>
      <w:r>
        <w:rPr>
          <w:b/>
          <w:bCs/>
          <w:sz w:val="24"/>
          <w:szCs w:val="24"/>
          <w:lang w:val="en-GB" w:eastAsia="en-GB" w:bidi="en-GB"/>
        </w:rPr>
        <w:t xml:space="preserve">Responsible to	</w:t>
      </w:r>
      <w:r>
        <w:rPr>
          <w:color w:val="000000"/>
          <w:lang w:val="en-GB" w:eastAsia="en-GB" w:bidi="en-GB"/>
        </w:rPr>
        <w:t xml:space="preserve">Head of Education &amp; Qualification Pathways</w:t>
      </w:r>
    </w:p>
    <w:p>
      <w:pPr>
        <w:pStyle w:val="Normal"/>
        <w:tabs>
          <w:tab w:val="left" w:pos="255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50" w:hanging="2550"/>
        <w:rPr>
          <w:b/>
          <w:bCs/>
          <w:sz w:val="24"/>
          <w:szCs w:val="24"/>
          <w:lang w:val="en-GB" w:eastAsia="en-GB" w:bidi="en-GB"/>
        </w:rPr>
      </w:pPr>
    </w:p>
    <w:p>
      <w:pPr>
        <w:pStyle w:val="Normal"/>
        <w:tabs>
          <w:tab w:val="left" w:pos="255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50" w:hanging="2550"/>
        <w:rPr>
          <w:lang w:val="en-GB" w:eastAsia="en-GB" w:bidi="en-GB"/>
        </w:rPr>
      </w:pPr>
      <w:r>
        <w:rPr>
          <w:b/>
          <w:bCs/>
          <w:sz w:val="24"/>
          <w:szCs w:val="24"/>
          <w:lang w:val="en-GB" w:eastAsia="en-GB" w:bidi="en-GB"/>
        </w:rPr>
        <w:t xml:space="preserve">Location</w:t>
      </w:r>
      <w:r>
        <w:rPr>
          <w:lang w:val="en-GB" w:eastAsia="en-GB" w:bidi="en-GB"/>
        </w:rPr>
        <w:t xml:space="preserve">	National Tennis Centre, 100 Priory Lane, Roehampton, London SW15 5JQ </w:t>
      </w:r>
    </w:p>
    <w:p>
      <w:pPr>
        <w:pStyle w:val="Normal"/>
        <w:tabs>
          <w:tab w:val="left" w:pos="255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50" w:hanging="2550"/>
        <w:rPr>
          <w:b/>
          <w:bCs/>
          <w:sz w:val="24"/>
          <w:szCs w:val="24"/>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1A7BC0"/>
          <w:lang w:val="en-GB" w:eastAsia="en-GB" w:bidi="en-GB"/>
        </w:rPr>
      </w:pPr>
      <w:r>
        <w:rPr>
          <w:color w:val="1A7BC0"/>
          <w:lang w:val="en-GB" w:eastAsia="en-GB" w:bidi="en-GB"/>
        </w:rPr>
        <w:t xml:space="preserve">About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61"/>
        <w:rPr>
          <w:spacing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lang w:val="en-GB" w:eastAsia="en-GB" w:bidi="en-GB"/>
        </w:rPr>
      </w:pPr>
      <w:r>
        <w:rPr>
          <w:lang w:val="en-GB" w:eastAsia="en-GB" w:bidi="en-GB"/>
        </w:rPr>
        <w:t xml:space="preserve">Our vision is ‘Tennis Opened Up’, and our mission is to transform communities through tennis and padel by making the sports welcoming, enjoyable and inspiring to everyone.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61"/>
        <w:jc w:val="both"/>
        <w:rPr>
          <w:spacing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This role will sit within the Coach &amp; Official Development &amp; Support team to enable the LTA to move further and faster in padel coach and official workforce development and engagement, responding to rapid growth and industry demand. On-court workforce is critical to the success and sustainability of new and existing padel facilities. This role will focus on putting in place strong support to engage the padel workforce within venues and across the sector, ensuring coaching and officiating supply, development, and engagement keep pace with growth. The role will take a specific lead on the design and implementation of qualifications, professional development and content that drives engagement, based on industry needs and challenges. The role will also support on the attraction, and recruitment needs that operators and venues experience across the country when needing to employ / deploy workforce.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A7BC0"/>
          <w:lang w:val="en-GB" w:eastAsia="en-GB" w:bidi="en-GB"/>
        </w:rPr>
      </w:pPr>
      <w:r>
        <w:rPr>
          <w:color w:val="1A7BC0"/>
          <w:lang w:val="en-GB" w:eastAsia="en-GB" w:bidi="en-GB"/>
        </w:rPr>
        <w:t xml:space="preserve">Key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lang w:val="en-GB" w:eastAsia="en-GB" w:bidi="en-GB"/>
        </w:rPr>
      </w:pPr>
      <w:r>
        <w:rPr>
          <w:lang w:val="en-GB" w:eastAsia="en-GB" w:bidi="en-GB"/>
        </w:rPr>
        <w:t xml:space="preserve">Responsible for overseeing the implementation of leading Padel Workforce Education and Qualifications, as part of the broader Qualifications &amp; Education strategy, including;</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Padel Coach Tutor Qualification development and delivery</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Padel Coach and Officials’ Tutor Training and support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Padel Senior Coach development and delivery</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Padel Regional Referee qualification development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Oversee the external quality assurance programme for Padel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lang w:val="en-GB" w:eastAsia="en-GB" w:bidi="en-GB"/>
        </w:rPr>
      </w:pPr>
      <w:r>
        <w:rPr>
          <w:lang w:val="en-GB" w:eastAsia="en-GB" w:bidi="en-GB"/>
        </w:rPr>
        <w:t xml:space="preserve">Responsible for the continuous professional development (CPD) and engagement offer for padel coaches and officials in Britain, as part of the broader Coach &amp; Official Development &amp; Support Strategy, including;</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Leading the delivery of padel forums and conferences, creating opportunities for coaches and officials to connect, share best practice, and support the continued growth and professionalisation of padel in Britain.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Develop and maintain a best-in-class online CPD portfolio and webinar series for padel, ensuring it meets current digital and accessibility standards, remains relevant and engaging, and supports the ongoing professionalisation of the padel workforce.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Oversee the integration of padel specific mentors and mentoring opportunities for padel coaches, providing tailored one-to-one support to enhance practice, business development, and player outcomes.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Responsible for curating and authoring engaging padel content and benefits to support coaches and officials actively working in padel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Manage and oversee insight and feedback processes to ensure Qualification, CPD, Content and Benefit provision meets the needs of padel coaches and padel officials across all roles and experience levels, from beginner coaches and entry-level officials to high-performance coaches and internationally qualified referees.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Collaborate internally with relevant teams (e.g. tennis development, competitions, performance, padel and facilities) to ensure Qualifications and CPD is aligned with the broader padel strategy and supports the development of the sport across all areas.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jc w:val="both"/>
        <w:rPr>
          <w:lang w:val="en-GB" w:eastAsia="en-GB" w:bidi="en-GB"/>
        </w:rPr>
      </w:pPr>
      <w:r>
        <w:rPr>
          <w:lang w:val="en-GB" w:eastAsia="en-GB" w:bidi="en-GB"/>
        </w:rPr>
        <w:t xml:space="preserve">Liaise externally with subject matter experts and partner organisations (e.g. UK Coaching, CIMSPA and cross-sport bodies) to support the development and delivery of high-quality industry leading padel learning content across multiple formats.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A7BC0"/>
          <w:lang w:val="en-GB" w:eastAsia="en-GB" w:bidi="en-GB"/>
        </w:rPr>
      </w:pPr>
      <w:r>
        <w:rPr>
          <w:color w:val="1A7BC0"/>
          <w:lang w:val="en-GB" w:eastAsia="en-GB" w:bidi="en-GB"/>
        </w:rPr>
        <w:t xml:space="preserve">Person Specification </w:t>
      </w:r>
    </w:p>
    <w:tbl>
      <w:tblPr>
        <w:tblW w:w="0" w:type="auto"/>
        <w:jc w:val="lef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8965"/>
        <w:gridCol w:w="1349"/>
      </w:tblGrid>
      <w:tr>
        <w:trPr>
          <w:trHeight w:val="27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rPr>
                <w:sz w:val="22"/>
                <w:szCs w:val="22"/>
                <w:lang w:val="en-GB" w:eastAsia="en-GB" w:bidi="en-GB"/>
              </w:rPr>
            </w:pPr>
            <w:r>
              <w:rPr>
                <w:sz w:val="22"/>
                <w:szCs w:val="22"/>
                <w:lang w:val="en-GB" w:eastAsia="en-GB" w:bidi="en-GB"/>
              </w:rPr>
              <w:t xml:space="preserve">Extensive experience and international credibility as a padel practitioner / player / coach</w:t>
            </w:r>
          </w:p>
        </w:tc>
        <w:tc>
          <w:tcPr>
            <w:tcW w:w="1349"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center"/>
              <w:rPr>
                <w:i/>
                <w:iCs/>
                <w:sz w:val="22"/>
                <w:szCs w:val="22"/>
                <w:lang w:val="en-GB" w:eastAsia="en-GB" w:bidi="en-GB"/>
              </w:rPr>
            </w:pPr>
            <w:r>
              <w:rPr>
                <w:i/>
                <w:iCs/>
                <w:sz w:val="22"/>
                <w:szCs w:val="22"/>
                <w:lang w:val="en-GB" w:eastAsia="en-GB" w:bidi="en-GB"/>
              </w:rPr>
              <w:t xml:space="preserve">Essential</w:t>
            </w:r>
          </w:p>
        </w:tc>
      </w:tr>
      <w:tr>
        <w:trPr>
          <w:trHeight w:val="27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rPr>
                <w:sz w:val="22"/>
                <w:szCs w:val="22"/>
                <w:lang w:val="en-GB" w:eastAsia="en-GB" w:bidi="en-GB"/>
              </w:rPr>
            </w:pPr>
            <w:r>
              <w:rPr>
                <w:sz w:val="22"/>
                <w:szCs w:val="22"/>
                <w:lang w:val="en-GB" w:eastAsia="en-GB" w:bidi="en-GB"/>
              </w:rPr>
              <w:t xml:space="preserve">Coaching experience and expertise across a breadth of audiences, ages and stages</w:t>
            </w:r>
          </w:p>
        </w:tc>
        <w:tc>
          <w:tcPr>
            <w:tcW w:w="1349"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center"/>
              <w:rPr>
                <w:i/>
                <w:iCs/>
                <w:sz w:val="22"/>
                <w:szCs w:val="22"/>
                <w:lang w:val="en-GB" w:eastAsia="en-GB" w:bidi="en-GB"/>
              </w:rPr>
            </w:pPr>
            <w:r>
              <w:rPr>
                <w:i/>
                <w:iCs/>
                <w:sz w:val="22"/>
                <w:szCs w:val="22"/>
                <w:lang w:val="en-GB" w:eastAsia="en-GB" w:bidi="en-GB"/>
              </w:rPr>
              <w:t xml:space="preserve">Essential</w:t>
            </w:r>
          </w:p>
        </w:tc>
      </w:tr>
      <w:tr>
        <w:trPr>
          <w:trHeight w:val="27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2"/>
                <w:szCs w:val="22"/>
                <w:lang w:val="en-GB" w:eastAsia="en-GB" w:bidi="en-GB"/>
              </w:rPr>
            </w:pPr>
            <w:r>
              <w:rPr>
                <w:sz w:val="22"/>
                <w:szCs w:val="22"/>
                <w:lang w:val="en-GB" w:eastAsia="en-GB" w:bidi="en-GB"/>
              </w:rPr>
              <w:t xml:space="preserve">Experience of presenting to groups of coaches and/or officials at events, forums and conferences</w:t>
            </w:r>
          </w:p>
        </w:tc>
        <w:tc>
          <w:tcPr>
            <w:tcW w:w="1349"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center"/>
              <w:rPr>
                <w:i/>
                <w:iCs/>
                <w:sz w:val="22"/>
                <w:szCs w:val="22"/>
                <w:lang w:val="en-GB" w:eastAsia="en-GB" w:bidi="en-GB"/>
              </w:rPr>
            </w:pPr>
            <w:r>
              <w:rPr>
                <w:i/>
                <w:iCs/>
                <w:sz w:val="22"/>
                <w:szCs w:val="22"/>
                <w:lang w:val="en-GB" w:eastAsia="en-GB" w:bidi="en-GB"/>
              </w:rPr>
              <w:t xml:space="preserve">Essential</w:t>
            </w:r>
          </w:p>
        </w:tc>
      </w:tr>
      <w:tr>
        <w:trPr>
          <w:trHeight w:val="305" w:hRule="atLeast"/>
        </w:trPr>
        <w:tc>
          <w:tcPr>
            <w:tcW w:w="8965" w:type="dxa"/>
            <w:shd w:val="clear" w:color="auto" w:fill="auto"/>
            <w:vAlign w:val="top"/>
          </w:tcPr>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t xml:space="preserve">Implementing learning and development at a national scale to support individuals to maximise potential</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Essential</w:t>
            </w:r>
          </w:p>
        </w:tc>
      </w:tr>
      <w:tr>
        <w:trPr>
          <w:trHeight w:val="26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2"/>
                <w:szCs w:val="22"/>
                <w:lang w:val="en-GB" w:eastAsia="en-GB" w:bidi="en-GB"/>
              </w:rPr>
            </w:pPr>
            <w:r>
              <w:rPr>
                <w:sz w:val="22"/>
                <w:szCs w:val="22"/>
                <w:lang w:val="en-GB" w:eastAsia="en-GB" w:bidi="en-GB"/>
              </w:rPr>
              <w:t xml:space="preserve">Administration and project work across a breadth simultaneous project</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i/>
                <w:iCs/>
                <w:lang w:val="en-GB" w:eastAsia="en-GB" w:bidi="en-GB"/>
              </w:rPr>
              <w:t xml:space="preserve">Desirable</w:t>
            </w:r>
          </w:p>
        </w:tc>
      </w:tr>
      <w:tr>
        <w:trPr>
          <w:trHeight w:val="278" w:hRule="atLeast"/>
        </w:trPr>
        <w:tc>
          <w:tcPr>
            <w:tcW w:w="89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t xml:space="preserve">Collaborating with stakeholders to inform strategic direction and decision making</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Desirable</w:t>
            </w:r>
          </w:p>
        </w:tc>
      </w:tr>
      <w:tr>
        <w:trPr>
          <w:trHeight w:val="27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2"/>
                <w:szCs w:val="22"/>
                <w:lang w:val="en-GB" w:eastAsia="en-GB" w:bidi="en-GB"/>
              </w:rPr>
            </w:pPr>
            <w:r>
              <w:rPr>
                <w:sz w:val="22"/>
                <w:szCs w:val="22"/>
                <w:lang w:val="en-GB" w:eastAsia="en-GB" w:bidi="en-GB"/>
              </w:rPr>
              <w:t xml:space="preserve">Experience of delivering projects on time and to a high standard</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Essential</w:t>
            </w:r>
          </w:p>
        </w:tc>
      </w:tr>
      <w:tr>
        <w:trPr>
          <w:trHeight w:val="27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color w:val="000000"/>
                <w:sz w:val="22"/>
                <w:szCs w:val="22"/>
                <w:lang w:val="en-GB" w:eastAsia="en-GB" w:bidi="en-GB"/>
              </w:rPr>
            </w:pPr>
            <w:r>
              <w:rPr>
                <w:sz w:val="22"/>
                <w:szCs w:val="22"/>
                <w:lang w:val="en-GB" w:eastAsia="en-GB" w:bidi="en-GB"/>
              </w:rPr>
              <w:t xml:space="preserve">Mentoring and coaching on a one-to-one basis in a business or sporting context</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Desirable</w:t>
            </w:r>
          </w:p>
        </w:tc>
      </w:tr>
      <w:tr>
        <w:trPr>
          <w:trHeight w:val="278" w:hRule="atLeast"/>
        </w:trPr>
        <w:tc>
          <w:tcPr>
            <w:tcW w:w="896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color w:val="000000"/>
                <w:sz w:val="22"/>
                <w:szCs w:val="22"/>
                <w:lang w:val="en-GB" w:eastAsia="en-GB" w:bidi="en-GB"/>
              </w:rPr>
            </w:pPr>
            <w:r>
              <w:rPr>
                <w:color w:val="000000"/>
                <w:sz w:val="22"/>
                <w:szCs w:val="22"/>
                <w:lang w:val="en-GB" w:eastAsia="en-GB" w:bidi="en-GB"/>
              </w:rPr>
              <w:t xml:space="preserve">Curriculum and content development experience</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Desirable</w:t>
            </w:r>
          </w:p>
        </w:tc>
      </w:tr>
      <w:tr>
        <w:trPr>
          <w:trHeight w:val="278" w:hRule="atLeast"/>
        </w:trPr>
        <w:tc>
          <w:tcPr>
            <w:tcW w:w="8965" w:type="dxa"/>
            <w:shd w:val="clear" w:color="auto" w:fill="auto"/>
            <w:vAlign w:val="top"/>
          </w:tcPr>
          <w:p>
            <w:pPr>
              <w:pStyle w:val="Bulleted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jc w:val="both"/>
              <w:rPr>
                <w:sz w:val="22"/>
                <w:szCs w:val="22"/>
                <w:lang w:val="en-GB" w:eastAsia="en-GB" w:bidi="en-GB"/>
              </w:rPr>
            </w:pPr>
            <w:r>
              <w:rPr>
                <w:sz w:val="22"/>
                <w:szCs w:val="22"/>
                <w:lang w:val="en-GB" w:eastAsia="en-GB" w:bidi="en-GB"/>
              </w:rPr>
              <w:t xml:space="preserve">Padel Officiating/Referee experience and expertise</w:t>
            </w:r>
          </w:p>
        </w:tc>
        <w:tc>
          <w:tcPr>
            <w:tcW w:w="134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Desirable</w:t>
            </w:r>
          </w:p>
        </w:tc>
      </w:tr>
    </w:tbl>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Knowledge, Training &amp;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9039"/>
        <w:gridCol w:w="1275"/>
      </w:tblGrid>
      <w:tr>
        <w:trPr>
          <w:trHeight w:val="278" w:hRule="atLeast"/>
        </w:trPr>
        <w:tc>
          <w:tcPr>
            <w:tcW w:w="9039" w:type="dxa"/>
            <w:shd w:val="clear" w:color="auto" w:fill="auto"/>
            <w:vAlign w:val="top"/>
          </w:tcPr>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t xml:space="preserve">Qualified padel coach or official to a senior level</w:t>
            </w:r>
          </w:p>
        </w:tc>
        <w:tc>
          <w:tcPr>
            <w:tcW w:w="127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2"/>
                <w:szCs w:val="22"/>
                <w:lang w:val="en-GB" w:eastAsia="en-GB" w:bidi="en-GB"/>
              </w:rPr>
            </w:pPr>
            <w:r>
              <w:rPr>
                <w:sz w:val="22"/>
                <w:szCs w:val="22"/>
                <w:lang w:val="en-GB" w:eastAsia="en-GB" w:bidi="en-GB"/>
              </w:rPr>
              <w:t xml:space="preserve">Essential</w:t>
            </w:r>
          </w:p>
        </w:tc>
      </w:tr>
      <w:tr>
        <w:trPr>
          <w:trHeight w:val="278" w:hRule="atLeast"/>
        </w:trPr>
        <w:tc>
          <w:tcPr>
            <w:tcW w:w="9039" w:type="dxa"/>
            <w:shd w:val="clear" w:color="auto" w:fill="auto"/>
            <w:vAlign w:val="top"/>
          </w:tcPr>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t xml:space="preserve">LTA Accredited+ (or equivalent)</w:t>
            </w:r>
          </w:p>
        </w:tc>
        <w:tc>
          <w:tcPr>
            <w:tcW w:w="127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2"/>
                <w:szCs w:val="22"/>
                <w:lang w:val="en-GB" w:eastAsia="en-GB" w:bidi="en-GB"/>
              </w:rPr>
            </w:pPr>
            <w:r>
              <w:rPr>
                <w:sz w:val="22"/>
                <w:szCs w:val="22"/>
                <w:lang w:val="en-GB" w:eastAsia="en-GB" w:bidi="en-GB"/>
              </w:rPr>
              <w:t xml:space="preserve">Essential</w:t>
            </w:r>
          </w:p>
        </w:tc>
      </w:tr>
      <w:tr>
        <w:trPr>
          <w:trHeight w:val="278" w:hRule="atLeast"/>
        </w:trPr>
        <w:tc>
          <w:tcPr>
            <w:tcW w:w="9039" w:type="dxa"/>
            <w:shd w:val="clear" w:color="auto" w:fill="auto"/>
            <w:vAlign w:val="top"/>
          </w:tcPr>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t xml:space="preserve">Bachelors degree in Sport coaching, management, science or related discipline</w:t>
            </w:r>
          </w:p>
        </w:tc>
        <w:tc>
          <w:tcPr>
            <w:tcW w:w="1275"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2"/>
                <w:szCs w:val="22"/>
                <w:lang w:val="en-GB" w:eastAsia="en-GB" w:bidi="en-GB"/>
              </w:rPr>
            </w:pPr>
            <w:r>
              <w:rPr>
                <w:sz w:val="22"/>
                <w:szCs w:val="22"/>
                <w:lang w:val="en-GB" w:eastAsia="en-GB" w:bidi="en-GB"/>
              </w:rPr>
              <w:t xml:space="preserve">Desirable</w:t>
            </w:r>
          </w:p>
        </w:tc>
      </w:tr>
      <w:tr>
        <w:trPr>
          <w:trHeight w:val="278" w:hRule="atLeast"/>
        </w:trPr>
        <w:tc>
          <w:tcPr>
            <w:tcW w:w="90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t xml:space="preserve">Knowledge of working within governing body environments</w:t>
            </w:r>
          </w:p>
        </w:tc>
        <w:tc>
          <w:tcPr>
            <w:tcW w:w="1275" w:type="dxa"/>
            <w:shd w:val="clear" w:color="auto" w:fill="auto"/>
            <w:vAlign w:val="top"/>
          </w:tcPr>
          <w:p>
            <w:pPr>
              <w:pStyle w:val="Bulleted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jc w:val="both"/>
              <w:rPr>
                <w:sz w:val="22"/>
                <w:szCs w:val="22"/>
                <w:lang w:val="en-GB" w:eastAsia="en-GB" w:bidi="en-GB"/>
              </w:rPr>
            </w:pPr>
            <w:r>
              <w:rPr>
                <w:sz w:val="22"/>
                <w:szCs w:val="22"/>
                <w:lang w:val="en-GB" w:eastAsia="en-GB" w:bidi="en-GB"/>
              </w:rPr>
              <w:t xml:space="preserve">Desirable</w:t>
            </w:r>
          </w:p>
        </w:tc>
      </w:tr>
    </w:tbl>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Personal Attributes (Our Values)</w:t>
      </w:r>
    </w:p>
    <w:tbl>
      <w:tblPr>
        <w:tblW w:w="0" w:type="auto"/>
        <w:jc w:val="left"/>
        <w:tblInd w:w="18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1471"/>
        <w:gridCol w:w="8635"/>
      </w:tblGrid>
      <w:tr>
        <w:trPr>
          <w:trHeight w:val="755"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3"/>
              <w:rPr>
                <w:b/>
                <w:bCs/>
                <w:i/>
                <w:iCs/>
                <w:lang w:val="en-GB" w:eastAsia="en-GB" w:bidi="en-GB"/>
              </w:rPr>
            </w:pPr>
            <w:r>
              <w:rPr>
                <w:b/>
                <w:bCs/>
                <w:i/>
                <w:iCs/>
                <w:lang w:val="en-GB" w:eastAsia="en-GB" w:bidi="en-GB"/>
              </w:rPr>
              <w:t xml:space="preserve">Inclusion</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 make people feel welcome.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 recognise the power of our differences.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 create a safe environment.</w:t>
            </w:r>
          </w:p>
        </w:tc>
      </w:tr>
      <w:tr>
        <w:trPr>
          <w:trHeight w:val="755"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3"/>
              <w:rPr>
                <w:b/>
                <w:bCs/>
                <w:i/>
                <w:iCs/>
                <w:lang w:val="en-GB" w:eastAsia="en-GB" w:bidi="en-GB"/>
              </w:rPr>
            </w:pPr>
            <w:r>
              <w:rPr>
                <w:b/>
                <w:bCs/>
                <w:i/>
                <w:iCs/>
                <w:lang w:val="en-GB" w:eastAsia="en-GB" w:bidi="en-GB"/>
              </w:rPr>
              <w:t xml:space="preserve">Teamwork</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collaborate well across teams.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actively listen to others.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actively offer to help others.</w:t>
            </w:r>
          </w:p>
        </w:tc>
      </w:tr>
      <w:tr>
        <w:trPr>
          <w:trHeight w:val="633"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3"/>
              <w:rPr>
                <w:b/>
                <w:bCs/>
                <w:i/>
                <w:iCs/>
                <w:lang w:val="en-GB" w:eastAsia="en-GB" w:bidi="en-GB"/>
              </w:rPr>
            </w:pPr>
            <w:r>
              <w:rPr>
                <w:b/>
                <w:bCs/>
                <w:i/>
                <w:iCs/>
                <w:lang w:val="en-GB" w:eastAsia="en-GB" w:bidi="en-GB"/>
              </w:rPr>
              <w:t xml:space="preserve">Integrity</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act with honesty and respect.</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take responsibility for my actions.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am dependable.</w:t>
            </w:r>
          </w:p>
        </w:tc>
      </w:tr>
      <w:tr>
        <w:trPr>
          <w:trHeight w:val="74"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3"/>
              <w:rPr>
                <w:b/>
                <w:bCs/>
                <w:i/>
                <w:iCs/>
                <w:lang w:val="en-GB" w:eastAsia="en-GB" w:bidi="en-GB"/>
              </w:rPr>
            </w:pPr>
            <w:r>
              <w:rPr>
                <w:b/>
                <w:bCs/>
                <w:i/>
                <w:iCs/>
                <w:lang w:val="en-GB" w:eastAsia="en-GB" w:bidi="en-GB"/>
              </w:rPr>
              <w:t xml:space="preserve">Passion</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approach things with a positive mindset.</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motivate and energise others.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take pride in my work. </w:t>
            </w:r>
          </w:p>
        </w:tc>
      </w:tr>
      <w:tr>
        <w:trPr>
          <w:trHeight w:val="862"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3"/>
              <w:rPr>
                <w:b/>
                <w:bCs/>
                <w:i/>
                <w:iCs/>
                <w:lang w:val="en-GB" w:eastAsia="en-GB" w:bidi="en-GB"/>
              </w:rPr>
            </w:pPr>
            <w:r>
              <w:rPr>
                <w:b/>
                <w:bCs/>
                <w:i/>
                <w:iCs/>
                <w:lang w:val="en-GB" w:eastAsia="en-GB" w:bidi="en-GB"/>
              </w:rPr>
              <w:t xml:space="preserve">Excellence</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am ambitious and want to exceed expectations.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want to learn more to improve.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rPr>
                <w:lang w:val="en-GB" w:eastAsia="en-GB" w:bidi="en-GB"/>
              </w:rPr>
            </w:pPr>
            <w:r>
              <w:rPr>
                <w:lang w:val="en-GB" w:eastAsia="en-GB" w:bidi="en-GB"/>
              </w:rPr>
              <w:t xml:space="preserve">I am adaptable to change.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A7BC0"/>
          <w:lang w:val="en-GB" w:eastAsia="en-GB" w:bidi="en-GB"/>
        </w:rPr>
      </w:pPr>
      <w:r>
        <w:rPr>
          <w:color w:val="1A7BC0"/>
          <w:lang w:val="en-GB" w:eastAsia="en-GB" w:bidi="en-GB"/>
        </w:rPr>
        <w:t xml:space="preserve">Life at the LTA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LTA, through its vision 'Tennis Opened Up', is committed to creating an inclusive environment where all colleagues feel included and a strong sense of belonging. We particularly welcome applications from people from ethnically diverse communities, deaf and disabled people, members of the LGBTQ+ community and people with lived experience of the UK's many and varied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Read some of our colleague spotlights and find out more about life at the LTA </w:t>
      </w:r>
      <w:r>
        <w:rPr>
          <w:rStyle w:val="Hyperlink"/>
          <w:lang w:val="en-GB" w:eastAsia="en-GB" w:bidi="en-GB"/>
        </w:rPr>
        <w:fldChar w:fldCharType="begin"/>
      </w:r>
      <w:r>
        <w:rPr>
          <w:rStyle w:val="Hyperlink"/>
          <w:lang w:val="en-GB" w:eastAsia="en-GB" w:bidi="en-GB"/>
        </w:rPr>
        <w:instrText xml:space="preserve"> HYPERLINK "https://www.lta.org.uk/about-us/careers/rewards-and-benefits/" </w:instrText>
      </w:r>
      <w:r>
        <w:rPr>
          <w:rStyle w:val="Hyperlink"/>
          <w:lang w:val="en-GB" w:eastAsia="en-GB" w:bidi="en-GB"/>
        </w:rPr>
        <w:fldChar w:fldCharType="separate"/>
      </w:r>
      <w:r>
        <w:rPr>
          <w:rStyle w:val="Hyperlink"/>
          <w:lang w:val="en-GB" w:eastAsia="en-GB" w:bidi="en-GB"/>
        </w:rPr>
        <w:t xml:space="preserve">here</w:t>
      </w:r>
      <w:r>
        <w:rPr>
          <w:lang w:val="en-GB" w:eastAsia="en-GB" w:bidi="en-GB"/>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9"/>
      <w:footerReference w:type="default" r:id="rId00010"/>
      <w:pgSz w:w="11906" w:h="16838"/>
      <w:pgMar w:top="720" w:right="720" w:bottom="1276" w:left="720" w:header="454" w:footer="454"/>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 Bold">
    <w:panose1 w:val="020B0704020202020204"/>
    <w:charset w:val="00"/>
    <w:family w:val="roman"/>
    <w:pitch w:val="variable"/>
    <w:sig w:usb0="E0002EFF" w:usb1="C000785B" w:usb2="00000009" w:usb3="00000000" w:csb0="400001FF" w:csb1="FFFF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r>
      <w:rPr>
        <w:lang w:val="en-GB" w:eastAsia="en-GB" w:bidi="en-GB"/>
      </w:rPr>
      <w:drawing>
        <wp:inline distT="0" distB="0" distL="0" distR="0">
          <wp:extent cx="1325880" cy="478155"/>
          <wp:docPr id="1" name="Picture 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325880" cy="478155"/>
                  </a:xfrm>
                  <a:prstGeom prst="rect">
                    <a:avLst/>
                  </a:prstGeom>
                </pic:spPr>
              </pic:pic>
            </a:graphicData>
          </a:graphic>
        </wp:inline>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7488"/>
    </w:tblGrid>
    <w:tr>
      <w:trPr>
        <w:trHeight w:val="284" w:hRule="atLeast"/>
      </w:trPr>
      <w:tc>
        <w:tcPr>
          <w:tcW w:w="7488" w:type="dxa"/>
          <w:shd w:val="clear" w:color="auto" w:fill="auto"/>
          <w:vAlign w:val="top"/>
        </w:tcPr>
        <w:p>
          <w:pPr>
            <w:pStyle w:val="Footer Re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rPr>
        <w:color w:val="003591"/>
        <w:sz w:val="14"/>
        <w:szCs w:val="14"/>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pStyle w:val="Bulleted Text Level 1"/>
      <w:suff w:val="tab"/>
      <w:lvlText w:val=""/>
      <w:pPr>
        <w:ind w:left="284" w:hanging="284"/>
        <w:tabs>
          <w:tab w:val="num" w:pos="284"/>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pStyle w:val="Bulleted Text Level 2"/>
      <w:suff w:val="tab"/>
      <w:lvlText w:val="−"/>
      <w:pPr>
        <w:ind w:left="567" w:hanging="283"/>
        <w:tabs>
          <w:tab w:val="num" w:pos="567"/>
        </w:tabs>
      </w:pPr>
      <w:rPr>
        <w:rFonts w:hint="default" w:ascii="Ariall" w:hAnsi="Ariall" w:eastAsia="Ariall" w:cs="Arial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0"/>
      <w:szCs w:val="20"/>
      <w:lang w:val="en-GB" w:eastAsia="en-GB" w:bidi="en-GB"/>
    </w:rPr>
  </w:style>
  <w:style w:type="paragraph" w:styleId="Normal">
    <w:name w:val="Normal"/>
    <w:next w:val="Normal"/>
    <w:qFormat/>
    <w:pPr>
      <w:widowControl w:val="on"/>
      <w:shd w:val="clear" w:color="auto" w:fill="auto"/>
      <w:spacing w:before="0" w:after="0" w:line="250" w:lineRule="atLeast"/>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Ref." w:customStyle="1">
    <w:name w:val="Footer Ref."/>
    <w:basedOn w:val="Normal"/>
    <w:next w:val="Footer Ref."/>
    <w:qFormat/>
    <w:pPr>
      <w:spacing w:line="200" w:lineRule="atLeast"/>
    </w:pPr>
    <w:rPr>
      <w:color w:val="003591"/>
      <w:sz w:val="14"/>
      <w:szCs w:val="14"/>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Heading2">
    <w:name w:val="heading 2"/>
    <w:basedOn w:val="Normal"/>
    <w:next w:val="Normal"/>
    <w:qFormat/>
    <w:pPr>
      <w:keepNext/>
      <w:spacing w:after="80"/>
      <w:outlineLvl w:val="1"/>
    </w:pPr>
    <w:rPr>
      <w:rFonts w:ascii="Arial Bold" w:hAnsi="Arial Bold" w:eastAsia="Arial Bold" w:cs="Arial Bold"/>
      <w:b/>
      <w:bCs/>
      <w:color w:val="0086CB"/>
      <w:sz w:val="28"/>
      <w:szCs w:val="28"/>
      <w:lang w:val="en-GB" w:eastAsia="en-GB" w:bidi="en-GB"/>
    </w:rPr>
  </w:style>
  <w:style w:type="paragraph" w:styleId="Bulleted Text" w:customStyle="1">
    <w:name w:val="Bulleted Text"/>
    <w:basedOn w:val="Normal"/>
    <w:next w:val="Bulleted Text"/>
    <w:qFormat/>
    <w:pPr>
      <w:tabs>
        <w:tab w:val="left" w:pos="170"/>
      </w:tabs>
      <w:spacing w:line="280" w:lineRule="atLeast"/>
      <w:ind w:left="170" w:hanging="170"/>
    </w:pPr>
    <w:rPr>
      <w:sz w:val="20"/>
      <w:szCs w:val="20"/>
      <w:lang w:val="en-GB" w:eastAsia="en-GB" w:bidi="en-GB"/>
    </w:rPr>
  </w:style>
  <w:style w:type="paragraph" w:styleId="Heading4">
    <w:name w:val="heading 4"/>
    <w:basedOn w:val="Normal"/>
    <w:next w:val="Normal"/>
    <w:qFormat/>
    <w:pPr>
      <w:keepNext/>
      <w:spacing w:after="80"/>
      <w:outlineLvl w:val="3"/>
    </w:pPr>
    <w:rPr>
      <w:i/>
      <w:iCs/>
      <w:color w:val="0086CB"/>
      <w:lang w:val="en-GB" w:eastAsia="en-GB" w:bidi="en-GB"/>
    </w:rPr>
  </w:style>
  <w:style w:type="paragraph" w:styleId="Heading1">
    <w:name w:val="heading 1"/>
    <w:basedOn w:val="Normal"/>
    <w:next w:val="Normal"/>
    <w:qFormat/>
    <w:pPr>
      <w:keepNext/>
      <w:spacing w:after="580"/>
      <w:outlineLvl w:val="0"/>
    </w:pPr>
    <w:rPr>
      <w:rFonts w:ascii="Arial Bold" w:hAnsi="Arial Bold" w:eastAsia="Arial Bold" w:cs="Arial Bold"/>
      <w:b/>
      <w:bCs/>
      <w:color w:val="003591"/>
      <w:sz w:val="32"/>
      <w:szCs w:val="32"/>
      <w:lang w:val="en-GB" w:eastAsia="en-GB" w:bidi="en-GB"/>
    </w:rPr>
  </w:style>
  <w:style w:type="paragraph" w:styleId="Heading3">
    <w:name w:val="heading 3"/>
    <w:basedOn w:val="Normal"/>
    <w:next w:val="Normal"/>
    <w:qFormat/>
    <w:pPr>
      <w:keepNext/>
      <w:spacing w:after="80"/>
      <w:outlineLvl w:val="2"/>
    </w:pPr>
    <w:rPr>
      <w:rFonts w:ascii="Arial Bold" w:hAnsi="Arial Bold" w:eastAsia="Arial Bold" w:cs="Arial Bold"/>
      <w:b/>
      <w:bCs/>
      <w:color w:val="0086CB"/>
      <w:lang w:val="en-GB" w:eastAsia="en-GB" w:bidi="en-GB"/>
    </w:rPr>
  </w:style>
  <w:style w:type="paragraph" w:styleId="Private &amp; Confidential" w:customStyle="1">
    <w:name w:val="Private &amp; Confidential"/>
    <w:basedOn w:val="Normal"/>
    <w:next w:val="Private &amp; Confidential"/>
    <w:qFormat/>
    <w:pPr>
      <w:spacing w:after="60" w:line="300" w:lineRule="atLeast"/>
    </w:pPr>
    <w:rPr>
      <w:b/>
      <w:bCs/>
      <w:color w:val="003591"/>
      <w:sz w:val="24"/>
      <w:szCs w:val="24"/>
      <w:lang w:val="en-GB" w:eastAsia="en-GB" w:bidi="en-GB"/>
    </w:rPr>
  </w:style>
  <w:style w:type="paragraph" w:styleId="BodyText">
    <w:name w:val="Body Text"/>
    <w:basedOn w:val="Normal"/>
    <w:next w:val="BodyText"/>
    <w:qFormat/>
    <w:pPr>
      <w:spacing w:after="120"/>
    </w:pPr>
    <w:rPr>
      <w:lang w:val="en-GB" w:eastAsia="en-GB" w:bidi="en-GB"/>
    </w:rPr>
  </w:style>
  <w:style w:type="paragraph" w:styleId="Bold Text" w:customStyle="1">
    <w:name w:val="Bold Text"/>
    <w:basedOn w:val="Normal"/>
    <w:next w:val="Bold Text"/>
    <w:qFormat/>
    <w:pPr/>
    <w:rPr>
      <w:b/>
      <w:bCs/>
      <w:lang w:val="en-GB" w:eastAsia="en-GB" w:bidi="en-GB"/>
    </w:rPr>
  </w:style>
  <w:style w:type="paragraph" w:styleId="10pt Italic" w:customStyle="1">
    <w:name w:val="10pt Italic"/>
    <w:basedOn w:val="Normal"/>
    <w:next w:val="10pt Italic"/>
    <w:qFormat/>
    <w:pPr>
      <w:spacing w:after="60"/>
    </w:pPr>
    <w:rPr>
      <w:b/>
      <w:bCs/>
      <w:i/>
      <w:iCs/>
      <w:sz w:val="20"/>
      <w:szCs w:val="20"/>
      <w:lang w:val="en-GB" w:eastAsia="en-GB" w:bidi="en-GB"/>
    </w:rPr>
  </w:style>
  <w:style w:type="paragraph" w:styleId="Bulleted Text Level 1" w:customStyle="1">
    <w:name w:val="Bulleted Text Level 1"/>
    <w:basedOn w:val="Normal"/>
    <w:next w:val="Bulleted Text Level 1"/>
    <w:qFormat/>
    <w:pPr>
      <w:numPr>
        <w:ilvl w:val="0"/>
        <w:numId w:val="1"/>
      </w:numPr>
      <w:tabs>
        <w:tab w:val="left" w:pos="284"/>
      </w:tabs>
      <w:spacing w:after="120"/>
      <w:ind w:left="284" w:hanging="284"/>
    </w:pPr>
    <w:rPr>
      <w:lang w:val="en-GB" w:eastAsia="en-GB" w:bidi="en-GB"/>
    </w:rPr>
  </w:style>
  <w:style w:type="paragraph" w:styleId="BalloonText">
    <w:name w:val="Balloon Text"/>
    <w:basedOn w:val="Normal"/>
    <w:next w:val="BalloonText"/>
    <w:qFormat/>
    <w:pPr>
      <w:spacing w:line="240" w:lineRule="auto"/>
    </w:pPr>
    <w:rPr>
      <w:rFonts w:ascii="Tahoma" w:hAnsi="Tahoma" w:eastAsia="Tahoma" w:cs="Tahoma"/>
      <w:sz w:val="16"/>
      <w:szCs w:val="16"/>
      <w:lang w:val="en-GB" w:eastAsia="en-GB" w:bidi="en-GB"/>
    </w:rPr>
  </w:style>
  <w:style w:type="paragraph" w:styleId="Bulleted Text Level 2" w:customStyle="1">
    <w:name w:val="Bulleted Text Level 2"/>
    <w:basedOn w:val="Normal"/>
    <w:next w:val="Bulleted Text Level 2"/>
    <w:qFormat/>
    <w:pPr>
      <w:numPr>
        <w:ilvl w:val="0"/>
        <w:numId w:val="2"/>
      </w:numPr>
      <w:tabs>
        <w:tab w:val="left" w:pos="567"/>
      </w:tabs>
      <w:spacing w:after="120"/>
      <w:ind w:left="567" w:hanging="283"/>
    </w:pPr>
    <w:rPr>
      <w:lang w:val="en-GB" w:eastAsia="en-GB" w:bidi="en-GB"/>
    </w:rPr>
  </w:style>
  <w:style w:type="paragraph" w:styleId="Additional Cover Information" w:customStyle="1">
    <w:name w:val="Additional Cover Information"/>
    <w:basedOn w:val="Normal"/>
    <w:next w:val="Additional Cover Information"/>
    <w:qFormat/>
    <w:pPr>
      <w:spacing w:after="120"/>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odyText2">
    <w:name w:val="Body Text 2"/>
    <w:basedOn w:val="Normal"/>
    <w:next w:val="BodyText2"/>
    <w:qFormat/>
    <w:pPr>
      <w:spacing w:after="120" w:line="480" w:lineRule="auto"/>
    </w:pPr>
    <w:rPr>
      <w:rFonts w:ascii="Calibri" w:hAnsi="Calibri" w:eastAsia="Calibri" w:cs="Calibri"/>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ui-provider" w:customStyle="1">
    <w:name w:val="ui-provider"/>
    <w:qFormat/>
    <w:rPr>
      <w:rtl w:val="off"/>
    </w:rPr>
  </w:style>
  <w:style w:type="paragraph" w:styleId="Default" w:customStyle="1">
    <w:name w:val="Default"/>
    <w:basedOn w:val="Normal"/>
    <w:next w:val="Default"/>
    <w:qFormat/>
    <w:pPr>
      <w:spacing w:line="240" w:lineRule="auto"/>
    </w:pPr>
    <w:rPr>
      <w:color w:val="000000"/>
      <w:sz w:val="24"/>
      <w:szCs w:val="24"/>
      <w:lang w:val="en-GB" w:eastAsia="en-GB" w:bidi="en-GB"/>
    </w:rPr>
  </w:style>
  <w:style w:type="paragraph" w:styleId="NormalWeb">
    <w:name w:val="Normal (Web)"/>
    <w:basedOn w:val="Normal"/>
    <w:next w:val="NormalWeb"/>
    <w:qFormat/>
    <w:pPr>
      <w:spacing w:line="240" w:lineRule="auto"/>
    </w:pPr>
    <w:rPr>
      <w:rFonts w:ascii="Times New Roman" w:hAnsi="Times New Roman" w:eastAsia="Times New Roman" w:cs="Times New Roman"/>
      <w:sz w:val="24"/>
      <w:szCs w:val="24"/>
      <w:lang w:val="en-GB" w:eastAsia="en-GB" w:bidi="en-GB"/>
    </w:rPr>
  </w:style>
  <w:style w:type="paragraph" w:styleId="Quote">
    <w:name w:val="Quote"/>
    <w:basedOn w:val="Normal"/>
    <w:next w:val="Normal"/>
    <w:qFormat/>
    <w:pPr>
      <w:spacing w:before="200" w:after="160"/>
      <w:ind w:left="864" w:right="864"/>
      <w:jc w:val="center"/>
    </w:pPr>
    <w:rPr>
      <w:i/>
      <w:iCs/>
      <w:color w:val="404040"/>
      <w:lang w:val="en-GB" w:eastAsia="en-GB" w:bidi="en-GB"/>
    </w:rPr>
  </w:style>
  <w:style w:type="paragraph" w:styleId="IntenseQuote">
    <w:name w:val="Intense Quote"/>
    <w:basedOn w:val="Normal"/>
    <w:next w:val="Normal"/>
    <w:qFormat/>
    <w:pPr>
      <w:pBdr>
        <w:top w:val="single" w:sz="4" w:space="10" w:color="156082"/>
        <w:left w:val="none"/>
        <w:bottom w:val="single" w:sz="4" w:space="10" w:color="156082"/>
        <w:right w:val="none"/>
        <w:between w:val="single" w:sz="4" w:space="10" w:color="156082"/>
      </w:pBdr>
      <w:spacing w:before="360" w:after="360"/>
      <w:ind w:left="864" w:right="864"/>
      <w:jc w:val="center"/>
    </w:pPr>
    <w:rPr>
      <w:i/>
      <w:iCs/>
      <w:color w:val="156082"/>
      <w:lang w:val="en-GB" w:eastAsia="en-GB" w:bidi="en-GB"/>
    </w:rPr>
  </w:style>
  <w:style w:type="character" w:styleId="Hyperlink">
    <w:name w:val="Hyperlink"/>
    <w:qFormat/>
    <w:rPr>
      <w:color w:val="0000FF"/>
      <w:u w:val="single"/>
      <w:rtl w:val="off"/>
    </w:rPr>
  </w:style>
  <w:style w:type="character" w:styleId="Balloon Text Char" w:customStyle="1">
    <w:name w:val="Balloon Text Char"/>
    <w:qFormat/>
    <w:rPr>
      <w:rFonts w:ascii="Tahoma" w:hAnsi="Tahoma" w:eastAsia="Tahoma" w:cs="Tahoma"/>
      <w:sz w:val="16"/>
      <w:szCs w:val="16"/>
      <w:rtl w:val="off"/>
      <w:lang w:val="en-GB" w:eastAsia="en-GB" w:bidi="en-GB"/>
    </w:rPr>
  </w:style>
  <w:style w:type="character" w:styleId="Body Text 2 Char" w:customStyle="1">
    <w:name w:val="Body Text 2 Char"/>
    <w:qFormat/>
    <w:rPr>
      <w:rFonts w:ascii="Calibri" w:hAnsi="Calibri" w:eastAsia="Calibri" w:cs="Calibri"/>
      <w:sz w:val="22"/>
      <w:szCs w:val="22"/>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Arial" w:hAnsi="Arial" w:eastAsia="Arial" w:cs="Arial"/>
      <w:rtl w:val="off"/>
      <w:lang w:val="en-GB" w:eastAsia="en-GB" w:bidi="en-GB"/>
    </w:rPr>
  </w:style>
  <w:style w:type="character" w:styleId="Comment Subject Char" w:customStyle="1">
    <w:name w:val="Comment Subject Char"/>
    <w:qFormat/>
    <w:rPr>
      <w:rFonts w:ascii="Arial" w:hAnsi="Arial" w:eastAsia="Arial" w:cs="Arial"/>
      <w:b/>
      <w:bCs/>
      <w:rtl w:val="off"/>
      <w:lang w:val="en-GB" w:eastAsia="en-GB" w:bidi="en-GB"/>
    </w:rPr>
  </w:style>
  <w:style w:type="character" w:styleId="Heading 2 Char" w:customStyle="1">
    <w:name w:val="Heading 2 Char"/>
    <w:qFormat/>
    <w:rPr>
      <w:rFonts w:ascii="Arial Bold" w:hAnsi="Arial Bold" w:eastAsia="Arial Bold" w:cs="Arial Bold"/>
      <w:b/>
      <w:bCs/>
      <w:i w:val="off"/>
      <w:iCs w:val="off"/>
      <w:color w:val="0086CB"/>
      <w:sz w:val="28"/>
      <w:szCs w:val="28"/>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 w:type="character" w:styleId="FollowedHyperlink">
    <w:name w:val="FollowedHyperlink"/>
    <w:qFormat/>
    <w:rPr>
      <w:color w:val="954F72"/>
      <w:u w:val="single"/>
      <w:rtl w:val="off"/>
    </w:rPr>
  </w:style>
  <w:style w:type="character" w:styleId="Strong">
    <w:name w:val="Strong"/>
    <w:qFormat/>
    <w:rPr>
      <w:b/>
      <w:bCs/>
      <w:rtl w:val="off"/>
    </w:rPr>
  </w:style>
  <w:style w:type="character" w:styleId="Emphasis">
    <w:name w:val="Emphasis"/>
    <w:qFormat/>
    <w:rPr>
      <w:i/>
      <w:iCs/>
      <w:rtl w:val="off"/>
    </w:rPr>
  </w:style>
  <w:style w:type="character" w:styleId="Quote Char" w:customStyle="1">
    <w:name w:val="Quote Char"/>
    <w:qFormat/>
    <w:rPr>
      <w:rFonts w:ascii="Arial" w:hAnsi="Arial" w:eastAsia="Arial" w:cs="Arial"/>
      <w:i/>
      <w:iCs/>
      <w:color w:val="404040"/>
      <w:sz w:val="22"/>
      <w:szCs w:val="22"/>
      <w:rtl w:val="off"/>
      <w:lang w:val="en-GB" w:eastAsia="en-GB" w:bidi="en-GB"/>
    </w:rPr>
  </w:style>
  <w:style w:type="character" w:styleId="UnresolvedMention">
    <w:name w:val="Unresolved Mention"/>
    <w:qFormat/>
    <w:rPr>
      <w:color w:val="605E5C"/>
      <w:shd w:val="clear" w:color="auto" w:fill="E1DFDD"/>
      <w:rtl w:val="off"/>
    </w:rPr>
  </w:style>
  <w:style w:type="character" w:styleId="Intense Quote Char" w:customStyle="1">
    <w:name w:val="Intense Quote Char"/>
    <w:qFormat/>
    <w:rPr>
      <w:rFonts w:ascii="Arial" w:hAnsi="Arial" w:eastAsia="Arial" w:cs="Arial"/>
      <w:i/>
      <w:iCs/>
      <w:color w:val="156082"/>
      <w:sz w:val="22"/>
      <w:szCs w:val="22"/>
      <w:rtl w:val="off"/>
      <w:lang w:val="en-GB" w:eastAsia="en-GB" w:bidi="en-GB"/>
    </w:rPr>
  </w:style>
  <w:style w:type="character" w:styleId="Heading 4 Char" w:customStyle="1">
    <w:name w:val="Heading 4 Char"/>
    <w:qFormat/>
    <w:rPr>
      <w:rFonts w:ascii="Arial" w:hAnsi="Arial" w:eastAsia="Arial" w:cs="Arial"/>
      <w:i/>
      <w:iCs/>
      <w:color w:val="0086CB"/>
      <w:sz w:val="22"/>
      <w:szCs w:val="2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07" Type="http://schemas.openxmlformats.org/officeDocument/2006/relationships/image" Target="media/image0002.png"/>
	<Relationship Id="rId00008" Type="http://schemas.openxmlformats.org/officeDocument/2006/relationships/image" Target="media/image0003.pn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Beth Stallwood</dc:creator>
  <dcterms:created xsi:type="dcterms:W3CDTF">2026-05-11T06:53:00Z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0x010100FEDC04D48FC347459CAE9BA3B0291278</vt:lpwstr>
  </property>
  <property fmtid="{D5CDD505-2E9C-101B-9397-08002B2CF9AE}" pid="3" name="Order0">
    <vt:lpwstr>1.00000000000000</vt:lpwstr>
  </property>
  <property fmtid="{D5CDD505-2E9C-101B-9397-08002B2CF9AE}" pid="4" name="Manager Zone Type">
    <vt:lpwstr>1</vt:lpwstr>
  </property>
</Properties>
</file>